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71CF0" w14:textId="77777777" w:rsidR="00A55A4B" w:rsidRDefault="00A55A4B" w:rsidP="00A55A4B">
      <w:pPr>
        <w:rPr>
          <w:rFonts w:ascii="Arial" w:eastAsia="Arial" w:hAnsi="Arial" w:cs="Arial"/>
          <w:b/>
          <w:bCs/>
          <w:sz w:val="24"/>
          <w:szCs w:val="24"/>
        </w:rPr>
      </w:pPr>
      <w:r w:rsidRPr="77A6AA13">
        <w:rPr>
          <w:rFonts w:ascii="Arial" w:eastAsia="Arial" w:hAnsi="Arial" w:cs="Arial"/>
          <w:b/>
          <w:bCs/>
          <w:sz w:val="24"/>
          <w:szCs w:val="24"/>
        </w:rPr>
        <w:t>National Fraud Initiative</w:t>
      </w:r>
    </w:p>
    <w:p w14:paraId="4AADF36F" w14:textId="77777777" w:rsidR="00A55A4B" w:rsidRDefault="00A55A4B" w:rsidP="00A55A4B">
      <w:pPr>
        <w:rPr>
          <w:rFonts w:ascii="Arial" w:eastAsia="Arial" w:hAnsi="Arial" w:cs="Arial"/>
          <w:sz w:val="24"/>
          <w:szCs w:val="24"/>
        </w:rPr>
      </w:pPr>
      <w:r w:rsidRPr="77A6AA13">
        <w:rPr>
          <w:rFonts w:ascii="Arial" w:eastAsia="Arial" w:hAnsi="Arial" w:cs="Arial"/>
          <w:sz w:val="24"/>
          <w:szCs w:val="24"/>
        </w:rPr>
        <w:t>Newcastle City Council is required by law to protect the public funds it administers. It may share information provided to it with other bodies responsible for auditing, or administering public funds, or where undertaking a public function, in order to prevent and detect fraud.</w:t>
      </w:r>
      <w:r>
        <w:br/>
      </w:r>
      <w:r>
        <w:br/>
      </w:r>
      <w:r w:rsidRPr="77A6AA13">
        <w:rPr>
          <w:rFonts w:ascii="Arial" w:eastAsia="Arial" w:hAnsi="Arial" w:cs="Arial"/>
          <w:sz w:val="24"/>
          <w:szCs w:val="24"/>
        </w:rPr>
        <w:t>To help do this, the Cabinet Office carries out the National Fraud Initiative (NFI) data matching exercise.  This involves public bodies across the country sending in certain types of data to the Cabinet Office, which they then compare to spot any differences or anomalies in order to prevent and detect fraud.  Where a match is found it may indicate that there is an inconsistency which requires further investigation.  No assumption can be made as to whether there is fraud, error or other explanation until an investigation is carried out.</w:t>
      </w:r>
      <w:r>
        <w:br/>
      </w:r>
      <w:r>
        <w:br/>
      </w:r>
      <w:r w:rsidRPr="77A6AA13">
        <w:rPr>
          <w:rFonts w:ascii="Arial" w:eastAsia="Arial" w:hAnsi="Arial" w:cs="Arial"/>
          <w:sz w:val="24"/>
          <w:szCs w:val="24"/>
        </w:rPr>
        <w:t>The City Council participates in the National Fraud Initiative data matching exercise to assist in the prevention and detection of fraud.  We are</w:t>
      </w:r>
      <w:bookmarkStart w:id="0" w:name="_GoBack"/>
      <w:bookmarkEnd w:id="0"/>
      <w:r w:rsidRPr="77A6AA13">
        <w:rPr>
          <w:rFonts w:ascii="Arial" w:eastAsia="Arial" w:hAnsi="Arial" w:cs="Arial"/>
          <w:sz w:val="24"/>
          <w:szCs w:val="24"/>
        </w:rPr>
        <w:t xml:space="preserve"> required to provide particular </w:t>
      </w:r>
      <w:hyperlink r:id="rId5">
        <w:r w:rsidRPr="77A6AA13">
          <w:rPr>
            <w:rStyle w:val="Hyperlink"/>
            <w:rFonts w:ascii="Arial" w:eastAsia="Arial" w:hAnsi="Arial" w:cs="Arial"/>
            <w:color w:val="0000FF"/>
            <w:sz w:val="24"/>
            <w:szCs w:val="24"/>
          </w:rPr>
          <w:t>sets of data</w:t>
        </w:r>
      </w:hyperlink>
      <w:r w:rsidRPr="77A6AA13">
        <w:rPr>
          <w:rFonts w:ascii="Arial" w:eastAsia="Arial" w:hAnsi="Arial" w:cs="Arial"/>
          <w:color w:val="121314"/>
          <w:sz w:val="24"/>
          <w:szCs w:val="24"/>
        </w:rPr>
        <w:t xml:space="preserve"> </w:t>
      </w:r>
      <w:r w:rsidRPr="77A6AA13">
        <w:rPr>
          <w:rFonts w:ascii="Arial" w:eastAsia="Arial" w:hAnsi="Arial" w:cs="Arial"/>
          <w:sz w:val="24"/>
          <w:szCs w:val="24"/>
        </w:rPr>
        <w:t>to the Minister for the Cabinet Office for data matching. Data sets include, but are not limited to:</w:t>
      </w:r>
    </w:p>
    <w:p w14:paraId="0E60D7C6" w14:textId="77777777" w:rsidR="00A55A4B" w:rsidRDefault="00A55A4B" w:rsidP="00A55A4B">
      <w:pPr>
        <w:pStyle w:val="ListParagraph"/>
        <w:numPr>
          <w:ilvl w:val="0"/>
          <w:numId w:val="1"/>
        </w:numPr>
        <w:spacing w:after="0"/>
        <w:rPr>
          <w:rFonts w:eastAsiaTheme="minorEastAsia"/>
          <w:color w:val="000000" w:themeColor="text1"/>
          <w:sz w:val="24"/>
          <w:szCs w:val="24"/>
        </w:rPr>
      </w:pPr>
      <w:r w:rsidRPr="77A6AA13">
        <w:rPr>
          <w:rFonts w:ascii="Arial" w:eastAsia="Arial" w:hAnsi="Arial" w:cs="Arial"/>
          <w:sz w:val="24"/>
          <w:szCs w:val="24"/>
        </w:rPr>
        <w:t>Payroll</w:t>
      </w:r>
    </w:p>
    <w:p w14:paraId="3442705E" w14:textId="77777777" w:rsidR="00A55A4B" w:rsidRDefault="00A55A4B" w:rsidP="00A55A4B">
      <w:pPr>
        <w:pStyle w:val="ListParagraph"/>
        <w:numPr>
          <w:ilvl w:val="0"/>
          <w:numId w:val="1"/>
        </w:numPr>
        <w:rPr>
          <w:rFonts w:eastAsiaTheme="minorEastAsia"/>
          <w:color w:val="000000" w:themeColor="text1"/>
          <w:sz w:val="24"/>
          <w:szCs w:val="24"/>
        </w:rPr>
      </w:pPr>
      <w:r w:rsidRPr="77A6AA13">
        <w:rPr>
          <w:rFonts w:ascii="Arial" w:eastAsia="Arial" w:hAnsi="Arial" w:cs="Arial"/>
          <w:sz w:val="24"/>
          <w:szCs w:val="24"/>
        </w:rPr>
        <w:t>Pension</w:t>
      </w:r>
    </w:p>
    <w:p w14:paraId="73DD8AC8" w14:textId="77777777" w:rsidR="00A55A4B" w:rsidRDefault="00A55A4B" w:rsidP="00A55A4B">
      <w:pPr>
        <w:pStyle w:val="ListParagraph"/>
        <w:numPr>
          <w:ilvl w:val="0"/>
          <w:numId w:val="1"/>
        </w:numPr>
        <w:rPr>
          <w:color w:val="000000" w:themeColor="text1"/>
          <w:sz w:val="24"/>
          <w:szCs w:val="24"/>
        </w:rPr>
      </w:pPr>
      <w:r w:rsidRPr="77A6AA13">
        <w:rPr>
          <w:rFonts w:ascii="Arial" w:eastAsia="Arial" w:hAnsi="Arial" w:cs="Arial"/>
          <w:sz w:val="24"/>
          <w:szCs w:val="24"/>
        </w:rPr>
        <w:t>Taxi Licences</w:t>
      </w:r>
    </w:p>
    <w:p w14:paraId="1522032F" w14:textId="77777777" w:rsidR="00A55A4B" w:rsidRDefault="00A55A4B" w:rsidP="00A55A4B">
      <w:pPr>
        <w:pStyle w:val="ListParagraph"/>
        <w:numPr>
          <w:ilvl w:val="0"/>
          <w:numId w:val="1"/>
        </w:numPr>
        <w:rPr>
          <w:color w:val="000000" w:themeColor="text1"/>
          <w:sz w:val="24"/>
          <w:szCs w:val="24"/>
        </w:rPr>
      </w:pPr>
      <w:r w:rsidRPr="77A6AA13">
        <w:rPr>
          <w:rFonts w:ascii="Arial" w:eastAsia="Arial" w:hAnsi="Arial" w:cs="Arial"/>
          <w:sz w:val="24"/>
          <w:szCs w:val="24"/>
        </w:rPr>
        <w:t>Creditors</w:t>
      </w:r>
    </w:p>
    <w:p w14:paraId="54E0E489" w14:textId="77777777" w:rsidR="00A55A4B" w:rsidRDefault="00A55A4B" w:rsidP="00A55A4B">
      <w:pPr>
        <w:pStyle w:val="ListParagraph"/>
        <w:numPr>
          <w:ilvl w:val="0"/>
          <w:numId w:val="1"/>
        </w:numPr>
        <w:rPr>
          <w:color w:val="000000" w:themeColor="text1"/>
          <w:sz w:val="24"/>
          <w:szCs w:val="24"/>
        </w:rPr>
      </w:pPr>
      <w:r w:rsidRPr="77A6AA13">
        <w:rPr>
          <w:rFonts w:ascii="Arial" w:eastAsia="Arial" w:hAnsi="Arial" w:cs="Arial"/>
          <w:sz w:val="24"/>
          <w:szCs w:val="24"/>
        </w:rPr>
        <w:t>Housing (Waiting list, Tenancy, Right to Buy)</w:t>
      </w:r>
    </w:p>
    <w:p w14:paraId="52AC3A07" w14:textId="77777777" w:rsidR="00A55A4B" w:rsidRDefault="00A55A4B" w:rsidP="00A55A4B">
      <w:pPr>
        <w:pStyle w:val="ListParagraph"/>
        <w:numPr>
          <w:ilvl w:val="0"/>
          <w:numId w:val="1"/>
        </w:numPr>
        <w:rPr>
          <w:color w:val="000000" w:themeColor="text1"/>
          <w:sz w:val="24"/>
          <w:szCs w:val="24"/>
        </w:rPr>
      </w:pPr>
      <w:r w:rsidRPr="77A6AA13">
        <w:rPr>
          <w:rFonts w:ascii="Arial" w:eastAsia="Arial" w:hAnsi="Arial" w:cs="Arial"/>
          <w:sz w:val="24"/>
          <w:szCs w:val="24"/>
        </w:rPr>
        <w:t>Council Tax Reduction Scheme (CTRS)</w:t>
      </w:r>
    </w:p>
    <w:p w14:paraId="343B0BB7" w14:textId="77777777" w:rsidR="00A55A4B" w:rsidRDefault="00A55A4B" w:rsidP="00A55A4B">
      <w:pPr>
        <w:pStyle w:val="ListParagraph"/>
        <w:numPr>
          <w:ilvl w:val="0"/>
          <w:numId w:val="1"/>
        </w:numPr>
        <w:rPr>
          <w:color w:val="000000" w:themeColor="text1"/>
          <w:sz w:val="24"/>
          <w:szCs w:val="24"/>
        </w:rPr>
      </w:pPr>
      <w:r w:rsidRPr="77A6AA13">
        <w:rPr>
          <w:rFonts w:ascii="Arial" w:eastAsia="Arial" w:hAnsi="Arial" w:cs="Arial"/>
          <w:sz w:val="24"/>
          <w:szCs w:val="24"/>
        </w:rPr>
        <w:t>Parking Permit</w:t>
      </w:r>
    </w:p>
    <w:p w14:paraId="583D37E8" w14:textId="77777777" w:rsidR="00A55A4B" w:rsidRDefault="00A55A4B" w:rsidP="00A55A4B">
      <w:pPr>
        <w:pStyle w:val="ListParagraph"/>
        <w:numPr>
          <w:ilvl w:val="0"/>
          <w:numId w:val="1"/>
        </w:numPr>
        <w:rPr>
          <w:color w:val="000000" w:themeColor="text1"/>
          <w:sz w:val="24"/>
          <w:szCs w:val="24"/>
        </w:rPr>
      </w:pPr>
      <w:r w:rsidRPr="77A6AA13">
        <w:rPr>
          <w:rFonts w:ascii="Arial" w:eastAsia="Arial" w:hAnsi="Arial" w:cs="Arial"/>
          <w:sz w:val="24"/>
          <w:szCs w:val="24"/>
        </w:rPr>
        <w:t>Business Grants</w:t>
      </w:r>
    </w:p>
    <w:p w14:paraId="3F96A39C" w14:textId="77777777" w:rsidR="00A55A4B" w:rsidRDefault="00A55A4B" w:rsidP="00A55A4B">
      <w:pPr>
        <w:pStyle w:val="ListParagraph"/>
        <w:numPr>
          <w:ilvl w:val="0"/>
          <w:numId w:val="1"/>
        </w:numPr>
        <w:rPr>
          <w:color w:val="000000" w:themeColor="text1"/>
          <w:sz w:val="24"/>
          <w:szCs w:val="24"/>
        </w:rPr>
      </w:pPr>
      <w:r w:rsidRPr="77A6AA13">
        <w:rPr>
          <w:rFonts w:ascii="Arial" w:eastAsia="Arial" w:hAnsi="Arial" w:cs="Arial"/>
          <w:sz w:val="24"/>
          <w:szCs w:val="24"/>
        </w:rPr>
        <w:t>Business Rates</w:t>
      </w:r>
    </w:p>
    <w:p w14:paraId="110F79D5" w14:textId="77777777" w:rsidR="00A55A4B" w:rsidRDefault="00A55A4B" w:rsidP="00A55A4B">
      <w:pPr>
        <w:pStyle w:val="ListParagraph"/>
        <w:numPr>
          <w:ilvl w:val="0"/>
          <w:numId w:val="1"/>
        </w:numPr>
        <w:rPr>
          <w:color w:val="000000" w:themeColor="text1"/>
          <w:sz w:val="24"/>
          <w:szCs w:val="24"/>
        </w:rPr>
      </w:pPr>
      <w:r w:rsidRPr="77A6AA13">
        <w:rPr>
          <w:rFonts w:ascii="Arial" w:eastAsia="Arial" w:hAnsi="Arial" w:cs="Arial"/>
          <w:sz w:val="24"/>
          <w:szCs w:val="24"/>
        </w:rPr>
        <w:t>Council Tax</w:t>
      </w:r>
    </w:p>
    <w:p w14:paraId="19C191E9" w14:textId="77777777" w:rsidR="00A55A4B" w:rsidRDefault="00A55A4B" w:rsidP="00A55A4B">
      <w:pPr>
        <w:pStyle w:val="ListParagraph"/>
        <w:numPr>
          <w:ilvl w:val="0"/>
          <w:numId w:val="1"/>
        </w:numPr>
        <w:rPr>
          <w:color w:val="000000" w:themeColor="text1"/>
          <w:sz w:val="24"/>
          <w:szCs w:val="24"/>
        </w:rPr>
      </w:pPr>
      <w:r w:rsidRPr="77A6AA13">
        <w:rPr>
          <w:rFonts w:ascii="Arial" w:eastAsia="Arial" w:hAnsi="Arial" w:cs="Arial"/>
          <w:sz w:val="24"/>
          <w:szCs w:val="24"/>
        </w:rPr>
        <w:t>Electoral Register</w:t>
      </w:r>
    </w:p>
    <w:p w14:paraId="32074D98" w14:textId="77777777" w:rsidR="00A55A4B" w:rsidRDefault="00A55A4B" w:rsidP="00A55A4B">
      <w:pPr>
        <w:rPr>
          <w:rStyle w:val="Hyperlink"/>
          <w:rFonts w:ascii="Arial" w:eastAsia="Arial" w:hAnsi="Arial" w:cs="Arial"/>
          <w:color w:val="auto"/>
          <w:sz w:val="24"/>
          <w:szCs w:val="24"/>
        </w:rPr>
      </w:pPr>
      <w:r w:rsidRPr="77A6AA13">
        <w:rPr>
          <w:rFonts w:ascii="Arial" w:eastAsia="Arial" w:hAnsi="Arial" w:cs="Arial"/>
          <w:sz w:val="24"/>
          <w:szCs w:val="24"/>
        </w:rPr>
        <w:t xml:space="preserve">The use of data by the Cabinet Office in a data matching exercise is carried out with statutory authority under Part 6 of the local Audit and Accountability Act.  It does not require the consent of the individuals concerned under the Data Protection Act or the General Data Protection Regulations (GDPR).  Data matching by the Cabinet Office is subject to a </w:t>
      </w:r>
      <w:hyperlink r:id="rId6">
        <w:r w:rsidRPr="77A6AA13">
          <w:rPr>
            <w:rStyle w:val="Hyperlink"/>
            <w:rFonts w:ascii="Arial" w:eastAsia="Arial" w:hAnsi="Arial" w:cs="Arial"/>
            <w:color w:val="0000FF"/>
            <w:sz w:val="24"/>
            <w:szCs w:val="24"/>
          </w:rPr>
          <w:t>code of practice</w:t>
        </w:r>
      </w:hyperlink>
      <w:r w:rsidRPr="77A6AA13">
        <w:rPr>
          <w:rFonts w:ascii="Arial" w:eastAsia="Arial" w:hAnsi="Arial" w:cs="Arial"/>
          <w:color w:val="121314"/>
          <w:sz w:val="24"/>
          <w:szCs w:val="24"/>
        </w:rPr>
        <w:t>.</w:t>
      </w:r>
      <w:r>
        <w:br/>
      </w:r>
      <w:r>
        <w:br/>
      </w:r>
      <w:r w:rsidRPr="77A6AA13">
        <w:rPr>
          <w:rFonts w:ascii="Arial" w:eastAsia="Arial" w:hAnsi="Arial" w:cs="Arial"/>
          <w:sz w:val="24"/>
          <w:szCs w:val="24"/>
        </w:rPr>
        <w:t>Information on the Cabinet Office’s legal powers and the reasons why it matches particular information is available</w:t>
      </w:r>
      <w:r w:rsidRPr="77A6AA13">
        <w:rPr>
          <w:rFonts w:ascii="Arial" w:eastAsia="Arial" w:hAnsi="Arial" w:cs="Arial"/>
          <w:color w:val="121314"/>
          <w:sz w:val="24"/>
          <w:szCs w:val="24"/>
        </w:rPr>
        <w:t xml:space="preserve"> </w:t>
      </w:r>
      <w:hyperlink r:id="rId7">
        <w:r w:rsidRPr="77A6AA13">
          <w:rPr>
            <w:rStyle w:val="Hyperlink"/>
            <w:rFonts w:ascii="Arial" w:eastAsia="Arial" w:hAnsi="Arial" w:cs="Arial"/>
            <w:color w:val="0000FF"/>
            <w:sz w:val="24"/>
            <w:szCs w:val="24"/>
          </w:rPr>
          <w:t>here</w:t>
        </w:r>
      </w:hyperlink>
      <w:r w:rsidRPr="77A6AA13">
        <w:rPr>
          <w:rFonts w:ascii="Arial" w:eastAsia="Arial" w:hAnsi="Arial" w:cs="Arial"/>
          <w:color w:val="121314"/>
          <w:sz w:val="24"/>
          <w:szCs w:val="24"/>
        </w:rPr>
        <w:t xml:space="preserve">.  </w:t>
      </w:r>
      <w:r w:rsidRPr="77A6AA13">
        <w:rPr>
          <w:rFonts w:ascii="Arial" w:eastAsia="Arial" w:hAnsi="Arial" w:cs="Arial"/>
          <w:sz w:val="24"/>
          <w:szCs w:val="24"/>
        </w:rPr>
        <w:t>For further information you can e-mail us at</w:t>
      </w:r>
      <w:r w:rsidRPr="77A6AA13">
        <w:rPr>
          <w:rFonts w:ascii="Arial" w:eastAsia="Arial" w:hAnsi="Arial" w:cs="Arial"/>
          <w:color w:val="121314"/>
          <w:sz w:val="24"/>
          <w:szCs w:val="24"/>
        </w:rPr>
        <w:t xml:space="preserve"> </w:t>
      </w:r>
      <w:hyperlink r:id="rId8">
        <w:r w:rsidRPr="77A6AA13">
          <w:rPr>
            <w:rStyle w:val="Hyperlink"/>
            <w:rFonts w:ascii="Arial" w:eastAsia="Arial" w:hAnsi="Arial" w:cs="Arial"/>
            <w:color w:val="auto"/>
            <w:sz w:val="24"/>
            <w:szCs w:val="24"/>
          </w:rPr>
          <w:t>dataprotection@newcastle.gov.uk</w:t>
        </w:r>
      </w:hyperlink>
    </w:p>
    <w:p w14:paraId="5D3891AA" w14:textId="77777777" w:rsidR="006F7A0E" w:rsidRDefault="006F7A0E"/>
    <w:sectPr w:rsidR="006F7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21BF8"/>
    <w:multiLevelType w:val="hybridMultilevel"/>
    <w:tmpl w:val="696A5D68"/>
    <w:lvl w:ilvl="0" w:tplc="CE76FF5C">
      <w:start w:val="1"/>
      <w:numFmt w:val="bullet"/>
      <w:lvlText w:val=""/>
      <w:lvlJc w:val="left"/>
      <w:pPr>
        <w:ind w:left="720" w:hanging="360"/>
      </w:pPr>
      <w:rPr>
        <w:rFonts w:ascii="Symbol" w:hAnsi="Symbol" w:hint="default"/>
      </w:rPr>
    </w:lvl>
    <w:lvl w:ilvl="1" w:tplc="3B188622">
      <w:start w:val="1"/>
      <w:numFmt w:val="bullet"/>
      <w:lvlText w:val="o"/>
      <w:lvlJc w:val="left"/>
      <w:pPr>
        <w:ind w:left="1440" w:hanging="360"/>
      </w:pPr>
      <w:rPr>
        <w:rFonts w:ascii="Courier New" w:hAnsi="Courier New" w:hint="default"/>
      </w:rPr>
    </w:lvl>
    <w:lvl w:ilvl="2" w:tplc="5E2C5BCC">
      <w:start w:val="1"/>
      <w:numFmt w:val="bullet"/>
      <w:lvlText w:val=""/>
      <w:lvlJc w:val="left"/>
      <w:pPr>
        <w:ind w:left="2160" w:hanging="360"/>
      </w:pPr>
      <w:rPr>
        <w:rFonts w:ascii="Wingdings" w:hAnsi="Wingdings" w:hint="default"/>
      </w:rPr>
    </w:lvl>
    <w:lvl w:ilvl="3" w:tplc="1CAA25B4">
      <w:start w:val="1"/>
      <w:numFmt w:val="bullet"/>
      <w:lvlText w:val=""/>
      <w:lvlJc w:val="left"/>
      <w:pPr>
        <w:ind w:left="2880" w:hanging="360"/>
      </w:pPr>
      <w:rPr>
        <w:rFonts w:ascii="Symbol" w:hAnsi="Symbol" w:hint="default"/>
      </w:rPr>
    </w:lvl>
    <w:lvl w:ilvl="4" w:tplc="EB8A9514">
      <w:start w:val="1"/>
      <w:numFmt w:val="bullet"/>
      <w:lvlText w:val="o"/>
      <w:lvlJc w:val="left"/>
      <w:pPr>
        <w:ind w:left="3600" w:hanging="360"/>
      </w:pPr>
      <w:rPr>
        <w:rFonts w:ascii="Courier New" w:hAnsi="Courier New" w:hint="default"/>
      </w:rPr>
    </w:lvl>
    <w:lvl w:ilvl="5" w:tplc="8ECEE994">
      <w:start w:val="1"/>
      <w:numFmt w:val="bullet"/>
      <w:lvlText w:val=""/>
      <w:lvlJc w:val="left"/>
      <w:pPr>
        <w:ind w:left="4320" w:hanging="360"/>
      </w:pPr>
      <w:rPr>
        <w:rFonts w:ascii="Wingdings" w:hAnsi="Wingdings" w:hint="default"/>
      </w:rPr>
    </w:lvl>
    <w:lvl w:ilvl="6" w:tplc="5E4AAF42">
      <w:start w:val="1"/>
      <w:numFmt w:val="bullet"/>
      <w:lvlText w:val=""/>
      <w:lvlJc w:val="left"/>
      <w:pPr>
        <w:ind w:left="5040" w:hanging="360"/>
      </w:pPr>
      <w:rPr>
        <w:rFonts w:ascii="Symbol" w:hAnsi="Symbol" w:hint="default"/>
      </w:rPr>
    </w:lvl>
    <w:lvl w:ilvl="7" w:tplc="1E308830">
      <w:start w:val="1"/>
      <w:numFmt w:val="bullet"/>
      <w:lvlText w:val="o"/>
      <w:lvlJc w:val="left"/>
      <w:pPr>
        <w:ind w:left="5760" w:hanging="360"/>
      </w:pPr>
      <w:rPr>
        <w:rFonts w:ascii="Courier New" w:hAnsi="Courier New" w:hint="default"/>
      </w:rPr>
    </w:lvl>
    <w:lvl w:ilvl="8" w:tplc="05E0D93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4B"/>
    <w:rsid w:val="00087B55"/>
    <w:rsid w:val="006F7A0E"/>
    <w:rsid w:val="00A55A4B"/>
    <w:rsid w:val="00AA273C"/>
    <w:rsid w:val="00DC1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F55B"/>
  <w15:chartTrackingRefBased/>
  <w15:docId w15:val="{E9AD387B-C3EE-40F2-B5CB-3A1CC4A4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A4B"/>
    <w:rPr>
      <w:color w:val="0563C1" w:themeColor="hyperlink"/>
      <w:u w:val="single"/>
    </w:rPr>
  </w:style>
  <w:style w:type="paragraph" w:styleId="ListParagraph">
    <w:name w:val="List Paragraph"/>
    <w:basedOn w:val="Normal"/>
    <w:uiPriority w:val="34"/>
    <w:qFormat/>
    <w:rsid w:val="00A55A4B"/>
    <w:pPr>
      <w:ind w:left="720"/>
      <w:contextualSpacing/>
    </w:pPr>
  </w:style>
  <w:style w:type="paragraph" w:styleId="BalloonText">
    <w:name w:val="Balloon Text"/>
    <w:basedOn w:val="Normal"/>
    <w:link w:val="BalloonTextChar"/>
    <w:uiPriority w:val="99"/>
    <w:semiHidden/>
    <w:unhideWhenUsed/>
    <w:rsid w:val="00A55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A4B"/>
    <w:rPr>
      <w:rFonts w:ascii="Segoe UI" w:hAnsi="Segoe UI" w:cs="Segoe UI"/>
      <w:sz w:val="18"/>
      <w:szCs w:val="18"/>
    </w:rPr>
  </w:style>
  <w:style w:type="paragraph" w:styleId="Revision">
    <w:name w:val="Revision"/>
    <w:hidden/>
    <w:uiPriority w:val="99"/>
    <w:semiHidden/>
    <w:rsid w:val="00A55A4B"/>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newcastle.gov.uk" TargetMode="External"/><Relationship Id="rId3" Type="http://schemas.openxmlformats.org/officeDocument/2006/relationships/settings" Target="settings.xml"/><Relationship Id="rId7" Type="http://schemas.openxmlformats.org/officeDocument/2006/relationships/hyperlink" Target="https://www.gov.uk/government/publications/fair-processing-national-fraud-initi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de-of-data-matching-practice-for-national-fraud-initiative" TargetMode="External"/><Relationship Id="rId5" Type="http://schemas.openxmlformats.org/officeDocument/2006/relationships/hyperlink" Target="https://www.gov.uk/guidance/national-fraud-initiative-public-sector-data-requir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1964</Characters>
  <Application>Microsoft Office Word</Application>
  <DocSecurity>4</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Peter (Business Mgt)</dc:creator>
  <cp:keywords/>
  <dc:description/>
  <cp:lastModifiedBy>Elliott, Peter (Business Mgt)</cp:lastModifiedBy>
  <cp:revision>2</cp:revision>
  <dcterms:created xsi:type="dcterms:W3CDTF">2020-11-13T09:54:00Z</dcterms:created>
  <dcterms:modified xsi:type="dcterms:W3CDTF">2020-11-13T09:54:00Z</dcterms:modified>
</cp:coreProperties>
</file>