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CA" w:rsidRPr="0051180F" w:rsidRDefault="004604CA" w:rsidP="00AE4EAB">
      <w:pPr>
        <w:pStyle w:val="Title"/>
        <w:rPr>
          <w:sz w:val="44"/>
          <w:szCs w:val="44"/>
        </w:rPr>
      </w:pPr>
      <w:r w:rsidRPr="0051180F">
        <w:rPr>
          <w:sz w:val="44"/>
          <w:szCs w:val="44"/>
        </w:rPr>
        <w:t>October is the time for big benefit changes</w:t>
      </w:r>
    </w:p>
    <w:p w:rsidR="004604CA" w:rsidRPr="00414CAC" w:rsidRDefault="004604CA" w:rsidP="00AE4EAB">
      <w:pPr>
        <w:rPr>
          <w:b/>
        </w:rPr>
      </w:pPr>
      <w:r w:rsidRPr="00F25493">
        <w:rPr>
          <w:b/>
        </w:rPr>
        <w:t xml:space="preserve">Here are some </w:t>
      </w:r>
      <w:r>
        <w:rPr>
          <w:b/>
        </w:rPr>
        <w:t xml:space="preserve">significant benefit changes </w:t>
      </w:r>
      <w:r w:rsidRPr="00F25493">
        <w:rPr>
          <w:b/>
        </w:rPr>
        <w:t xml:space="preserve">taking place </w:t>
      </w:r>
      <w:r>
        <w:rPr>
          <w:b/>
        </w:rPr>
        <w:t>from</w:t>
      </w:r>
      <w:r w:rsidRPr="00F25493">
        <w:rPr>
          <w:b/>
        </w:rPr>
        <w:t xml:space="preserve"> October</w:t>
      </w:r>
      <w:r>
        <w:rPr>
          <w:b/>
        </w:rPr>
        <w:t xml:space="preserve"> </w:t>
      </w:r>
      <w:r w:rsidRPr="00F25493">
        <w:rPr>
          <w:b/>
        </w:rPr>
        <w:t>2013</w:t>
      </w:r>
      <w:r>
        <w:rPr>
          <w:b/>
        </w:rPr>
        <w:t>,</w:t>
      </w:r>
      <w:r w:rsidRPr="00F25493">
        <w:rPr>
          <w:b/>
        </w:rPr>
        <w:t xml:space="preserve"> a roundup </w:t>
      </w:r>
      <w:r>
        <w:rPr>
          <w:b/>
        </w:rPr>
        <w:t>of others and dealing with the impact of welfare reform.</w:t>
      </w:r>
    </w:p>
    <w:p w:rsidR="004604CA" w:rsidRDefault="004604CA" w:rsidP="00AE4EAB">
      <w:pPr>
        <w:rPr>
          <w:bCs/>
        </w:rPr>
      </w:pPr>
    </w:p>
    <w:tbl>
      <w:tblPr>
        <w:tblW w:w="0" w:type="auto"/>
        <w:tblLook w:val="01E0"/>
      </w:tblPr>
      <w:tblGrid>
        <w:gridCol w:w="8452"/>
        <w:gridCol w:w="790"/>
      </w:tblGrid>
      <w:tr w:rsidR="004604CA" w:rsidTr="009B352E">
        <w:tc>
          <w:tcPr>
            <w:tcW w:w="9064" w:type="dxa"/>
          </w:tcPr>
          <w:p w:rsidR="004604CA" w:rsidRPr="009B352E" w:rsidRDefault="004604CA" w:rsidP="00AE4EAB">
            <w:pPr>
              <w:rPr>
                <w:b/>
                <w:bCs/>
                <w:color w:val="003366"/>
                <w:spacing w:val="20"/>
                <w:sz w:val="32"/>
                <w:szCs w:val="32"/>
              </w:rPr>
            </w:pPr>
            <w:r w:rsidRPr="009B352E">
              <w:rPr>
                <w:b/>
                <w:bCs/>
                <w:color w:val="003366"/>
                <w:spacing w:val="20"/>
                <w:sz w:val="32"/>
                <w:szCs w:val="32"/>
              </w:rPr>
              <w:t>Changes at a glance</w:t>
            </w:r>
          </w:p>
          <w:p w:rsidR="004604CA" w:rsidRPr="009B352E" w:rsidRDefault="004604CA" w:rsidP="00AE4EAB">
            <w:pPr>
              <w:rPr>
                <w:bCs/>
              </w:rPr>
            </w:pPr>
          </w:p>
        </w:tc>
        <w:tc>
          <w:tcPr>
            <w:tcW w:w="790" w:type="dxa"/>
          </w:tcPr>
          <w:p w:rsidR="004604CA" w:rsidRPr="009B352E" w:rsidRDefault="004604CA" w:rsidP="009B352E">
            <w:pPr>
              <w:jc w:val="right"/>
              <w:rPr>
                <w:b/>
                <w:color w:val="003366"/>
              </w:rPr>
            </w:pPr>
            <w:r w:rsidRPr="009B352E">
              <w:rPr>
                <w:b/>
                <w:color w:val="003366"/>
              </w:rPr>
              <w:t>Page</w:t>
            </w:r>
          </w:p>
        </w:tc>
      </w:tr>
      <w:tr w:rsidR="004604CA" w:rsidTr="009B352E">
        <w:tc>
          <w:tcPr>
            <w:tcW w:w="9064" w:type="dxa"/>
          </w:tcPr>
          <w:p w:rsidR="004604CA" w:rsidRPr="009B352E" w:rsidRDefault="004604CA" w:rsidP="009B352E">
            <w:pPr>
              <w:spacing w:after="60"/>
              <w:rPr>
                <w:b/>
              </w:rPr>
            </w:pPr>
            <w:r w:rsidRPr="009B352E">
              <w:rPr>
                <w:b/>
              </w:rPr>
              <w:t xml:space="preserve">People with care and mobility needs </w:t>
            </w:r>
            <w:r w:rsidRPr="009B352E">
              <w:rPr>
                <w:bCs/>
              </w:rPr>
              <w:t>…………………………………………</w:t>
            </w:r>
          </w:p>
          <w:p w:rsidR="004604CA" w:rsidRPr="009B352E" w:rsidRDefault="004604CA" w:rsidP="00AE4EAB">
            <w:pPr>
              <w:rPr>
                <w:bCs/>
              </w:rPr>
            </w:pPr>
            <w:r w:rsidRPr="009B352E">
              <w:rPr>
                <w:bCs/>
              </w:rPr>
              <w:t>The change to Personal Independence Payment begins for existing Disability Living Allowance claimants</w:t>
            </w:r>
          </w:p>
          <w:p w:rsidR="004604CA" w:rsidRPr="009B352E" w:rsidRDefault="004604CA" w:rsidP="00AE4EAB">
            <w:pPr>
              <w:rPr>
                <w:bCs/>
              </w:rPr>
            </w:pPr>
          </w:p>
        </w:tc>
        <w:tc>
          <w:tcPr>
            <w:tcW w:w="790" w:type="dxa"/>
          </w:tcPr>
          <w:p w:rsidR="004604CA" w:rsidRPr="009B352E" w:rsidRDefault="004604CA" w:rsidP="009B352E">
            <w:pPr>
              <w:jc w:val="right"/>
              <w:rPr>
                <w:bCs/>
              </w:rPr>
            </w:pPr>
            <w:r w:rsidRPr="009B352E">
              <w:rPr>
                <w:bCs/>
              </w:rPr>
              <w:t>1</w:t>
            </w:r>
          </w:p>
        </w:tc>
      </w:tr>
      <w:tr w:rsidR="004604CA" w:rsidTr="009B352E">
        <w:tc>
          <w:tcPr>
            <w:tcW w:w="9064" w:type="dxa"/>
          </w:tcPr>
          <w:p w:rsidR="004604CA" w:rsidRPr="009B352E" w:rsidRDefault="004604CA" w:rsidP="009B352E">
            <w:pPr>
              <w:spacing w:after="60"/>
              <w:rPr>
                <w:b/>
              </w:rPr>
            </w:pPr>
            <w:r w:rsidRPr="009B352E">
              <w:rPr>
                <w:b/>
              </w:rPr>
              <w:t xml:space="preserve">Benefit appeal changes </w:t>
            </w:r>
            <w:r w:rsidRPr="009B352E">
              <w:rPr>
                <w:bCs/>
              </w:rPr>
              <w:t>………………………………………………………….</w:t>
            </w:r>
          </w:p>
          <w:p w:rsidR="004604CA" w:rsidRPr="009B352E" w:rsidRDefault="004604CA" w:rsidP="00AE4EAB">
            <w:pPr>
              <w:rPr>
                <w:bCs/>
              </w:rPr>
            </w:pPr>
            <w:r w:rsidRPr="009B352E">
              <w:rPr>
                <w:bCs/>
              </w:rPr>
              <w:t>Extra stage brought in for those who want to appeal a benefit decision</w:t>
            </w:r>
          </w:p>
          <w:p w:rsidR="004604CA" w:rsidRPr="009B352E" w:rsidRDefault="004604CA" w:rsidP="00AE4EAB">
            <w:pPr>
              <w:rPr>
                <w:bCs/>
              </w:rPr>
            </w:pPr>
          </w:p>
        </w:tc>
        <w:tc>
          <w:tcPr>
            <w:tcW w:w="790" w:type="dxa"/>
          </w:tcPr>
          <w:p w:rsidR="004604CA" w:rsidRPr="009B352E" w:rsidRDefault="004604CA" w:rsidP="009B352E">
            <w:pPr>
              <w:jc w:val="right"/>
              <w:rPr>
                <w:bCs/>
              </w:rPr>
            </w:pPr>
            <w:r w:rsidRPr="009B352E">
              <w:rPr>
                <w:bCs/>
              </w:rPr>
              <w:t>2</w:t>
            </w:r>
          </w:p>
        </w:tc>
      </w:tr>
      <w:tr w:rsidR="004604CA" w:rsidTr="009B352E">
        <w:tc>
          <w:tcPr>
            <w:tcW w:w="9064" w:type="dxa"/>
          </w:tcPr>
          <w:p w:rsidR="004604CA" w:rsidRPr="009B352E" w:rsidRDefault="004604CA" w:rsidP="009B352E">
            <w:pPr>
              <w:spacing w:after="60"/>
              <w:rPr>
                <w:bCs/>
              </w:rPr>
            </w:pPr>
            <w:r w:rsidRPr="009B352E">
              <w:rPr>
                <w:b/>
              </w:rPr>
              <w:t>Universal Credit – no</w:t>
            </w:r>
            <w:r w:rsidRPr="009B352E">
              <w:rPr>
                <w:bCs/>
              </w:rPr>
              <w:t xml:space="preserve"> …………………………………………………………….</w:t>
            </w:r>
          </w:p>
          <w:p w:rsidR="004604CA" w:rsidRPr="009B352E" w:rsidRDefault="004604CA" w:rsidP="00AE4EAB">
            <w:pPr>
              <w:rPr>
                <w:bCs/>
              </w:rPr>
            </w:pPr>
            <w:r w:rsidRPr="009B352E">
              <w:rPr>
                <w:bCs/>
              </w:rPr>
              <w:t>This major change is being rolled out but not in the North East</w:t>
            </w:r>
          </w:p>
          <w:p w:rsidR="004604CA" w:rsidRPr="009B352E" w:rsidRDefault="004604CA" w:rsidP="00AE4EAB">
            <w:pPr>
              <w:rPr>
                <w:bCs/>
              </w:rPr>
            </w:pPr>
          </w:p>
        </w:tc>
        <w:tc>
          <w:tcPr>
            <w:tcW w:w="790" w:type="dxa"/>
          </w:tcPr>
          <w:p w:rsidR="004604CA" w:rsidRPr="009B352E" w:rsidRDefault="004604CA" w:rsidP="009B352E">
            <w:pPr>
              <w:jc w:val="right"/>
              <w:rPr>
                <w:bCs/>
              </w:rPr>
            </w:pPr>
            <w:r w:rsidRPr="009B352E">
              <w:rPr>
                <w:bCs/>
              </w:rPr>
              <w:t>3</w:t>
            </w:r>
          </w:p>
        </w:tc>
      </w:tr>
      <w:tr w:rsidR="004604CA" w:rsidTr="009B352E">
        <w:tc>
          <w:tcPr>
            <w:tcW w:w="9064" w:type="dxa"/>
          </w:tcPr>
          <w:p w:rsidR="004604CA" w:rsidRPr="009B352E" w:rsidRDefault="004604CA" w:rsidP="009B352E">
            <w:pPr>
              <w:spacing w:after="60"/>
              <w:rPr>
                <w:bCs/>
              </w:rPr>
            </w:pPr>
            <w:r w:rsidRPr="009B352E">
              <w:rPr>
                <w:b/>
              </w:rPr>
              <w:t>Claimant commitment – yes</w:t>
            </w:r>
            <w:r w:rsidRPr="009B352E">
              <w:rPr>
                <w:bCs/>
              </w:rPr>
              <w:t xml:space="preserve"> …………………………………………………….</w:t>
            </w:r>
          </w:p>
          <w:p w:rsidR="004604CA" w:rsidRPr="009B352E" w:rsidRDefault="004604CA" w:rsidP="00AE4EAB">
            <w:pPr>
              <w:rPr>
                <w:bCs/>
              </w:rPr>
            </w:pPr>
            <w:r w:rsidRPr="009B352E">
              <w:rPr>
                <w:bCs/>
              </w:rPr>
              <w:t>More work related requirements for jobseekers – with consequences</w:t>
            </w:r>
          </w:p>
          <w:p w:rsidR="004604CA" w:rsidRPr="009B352E" w:rsidRDefault="004604CA" w:rsidP="00AE4EAB">
            <w:pPr>
              <w:rPr>
                <w:bCs/>
              </w:rPr>
            </w:pPr>
          </w:p>
        </w:tc>
        <w:tc>
          <w:tcPr>
            <w:tcW w:w="790" w:type="dxa"/>
          </w:tcPr>
          <w:p w:rsidR="004604CA" w:rsidRPr="009B352E" w:rsidRDefault="004604CA" w:rsidP="009B352E">
            <w:pPr>
              <w:jc w:val="right"/>
              <w:rPr>
                <w:bCs/>
              </w:rPr>
            </w:pPr>
            <w:r w:rsidRPr="009B352E">
              <w:rPr>
                <w:bCs/>
              </w:rPr>
              <w:t>3</w:t>
            </w:r>
          </w:p>
        </w:tc>
      </w:tr>
      <w:tr w:rsidR="004604CA" w:rsidTr="009B352E">
        <w:tc>
          <w:tcPr>
            <w:tcW w:w="9064" w:type="dxa"/>
          </w:tcPr>
          <w:p w:rsidR="004604CA" w:rsidRPr="009B352E" w:rsidRDefault="004604CA" w:rsidP="009B352E">
            <w:pPr>
              <w:spacing w:after="60"/>
              <w:rPr>
                <w:bCs/>
              </w:rPr>
            </w:pPr>
            <w:r w:rsidRPr="009B352E">
              <w:rPr>
                <w:b/>
              </w:rPr>
              <w:t xml:space="preserve">Roundup of other changes </w:t>
            </w:r>
            <w:r w:rsidRPr="009B352E">
              <w:rPr>
                <w:bCs/>
              </w:rPr>
              <w:t>……………………………………………………...</w:t>
            </w:r>
          </w:p>
          <w:p w:rsidR="004604CA" w:rsidRDefault="004604CA" w:rsidP="00AE4EAB">
            <w:pPr>
              <w:rPr>
                <w:noProof/>
              </w:rPr>
            </w:pPr>
            <w:r>
              <w:rPr>
                <w:noProof/>
              </w:rPr>
              <w:t>News on the ‘cap’ the ‘under occupancy charge’ and discretionary help</w:t>
            </w:r>
          </w:p>
          <w:p w:rsidR="004604CA" w:rsidRPr="009B352E" w:rsidRDefault="004604CA" w:rsidP="00AE4EAB">
            <w:pPr>
              <w:rPr>
                <w:bCs/>
              </w:rPr>
            </w:pPr>
          </w:p>
        </w:tc>
        <w:tc>
          <w:tcPr>
            <w:tcW w:w="790" w:type="dxa"/>
          </w:tcPr>
          <w:p w:rsidR="004604CA" w:rsidRPr="009B352E" w:rsidRDefault="004604CA" w:rsidP="009B352E">
            <w:pPr>
              <w:jc w:val="right"/>
              <w:rPr>
                <w:bCs/>
              </w:rPr>
            </w:pPr>
            <w:r w:rsidRPr="009B352E">
              <w:rPr>
                <w:bCs/>
              </w:rPr>
              <w:t>3</w:t>
            </w:r>
          </w:p>
        </w:tc>
      </w:tr>
      <w:tr w:rsidR="004604CA" w:rsidTr="009B352E">
        <w:tc>
          <w:tcPr>
            <w:tcW w:w="9064" w:type="dxa"/>
          </w:tcPr>
          <w:p w:rsidR="004604CA" w:rsidRPr="009B352E" w:rsidRDefault="004604CA" w:rsidP="009B352E">
            <w:pPr>
              <w:spacing w:after="60"/>
              <w:rPr>
                <w:bCs/>
              </w:rPr>
            </w:pPr>
            <w:r w:rsidRPr="009B352E">
              <w:rPr>
                <w:b/>
              </w:rPr>
              <w:t xml:space="preserve">More details and help </w:t>
            </w:r>
            <w:r w:rsidRPr="009B352E">
              <w:rPr>
                <w:bCs/>
              </w:rPr>
              <w:t>…………………………………………………………….</w:t>
            </w:r>
          </w:p>
          <w:p w:rsidR="004604CA" w:rsidRPr="009B352E" w:rsidRDefault="004604CA" w:rsidP="00AE4EAB">
            <w:pPr>
              <w:rPr>
                <w:bCs/>
              </w:rPr>
            </w:pPr>
            <w:r w:rsidRPr="009B352E">
              <w:rPr>
                <w:bCs/>
              </w:rPr>
              <w:t xml:space="preserve">Including where to get advice and how </w:t>
            </w:r>
            <w:smartTag w:uri="urn:schemas-microsoft-com:office:smarttags" w:element="City">
              <w:smartTag w:uri="urn:schemas-microsoft-com:office:smarttags" w:element="place">
                <w:r w:rsidRPr="009B352E">
                  <w:rPr>
                    <w:bCs/>
                  </w:rPr>
                  <w:t>Newcastle</w:t>
                </w:r>
              </w:smartTag>
            </w:smartTag>
            <w:r w:rsidRPr="009B352E">
              <w:rPr>
                <w:bCs/>
              </w:rPr>
              <w:t xml:space="preserve"> is responding to welfare reform </w:t>
            </w:r>
          </w:p>
          <w:p w:rsidR="004604CA" w:rsidRPr="009B352E" w:rsidRDefault="004604CA" w:rsidP="00AE4EAB">
            <w:pPr>
              <w:rPr>
                <w:bCs/>
              </w:rPr>
            </w:pPr>
          </w:p>
        </w:tc>
        <w:tc>
          <w:tcPr>
            <w:tcW w:w="790" w:type="dxa"/>
          </w:tcPr>
          <w:p w:rsidR="004604CA" w:rsidRPr="009B352E" w:rsidRDefault="004604CA" w:rsidP="009B352E">
            <w:pPr>
              <w:jc w:val="right"/>
              <w:rPr>
                <w:bCs/>
              </w:rPr>
            </w:pPr>
            <w:r w:rsidRPr="009B352E">
              <w:rPr>
                <w:bCs/>
              </w:rPr>
              <w:t>4</w:t>
            </w:r>
          </w:p>
        </w:tc>
      </w:tr>
      <w:tr w:rsidR="004604CA" w:rsidTr="009B352E">
        <w:tc>
          <w:tcPr>
            <w:tcW w:w="9064" w:type="dxa"/>
          </w:tcPr>
          <w:p w:rsidR="004604CA" w:rsidRPr="009B352E" w:rsidRDefault="004604CA" w:rsidP="009B352E">
            <w:pPr>
              <w:spacing w:after="60"/>
              <w:rPr>
                <w:bCs/>
              </w:rPr>
            </w:pPr>
            <w:r w:rsidRPr="009B352E">
              <w:rPr>
                <w:b/>
              </w:rPr>
              <w:t xml:space="preserve">Active inclusion Newcastle </w:t>
            </w:r>
            <w:r w:rsidRPr="009B352E">
              <w:rPr>
                <w:bCs/>
              </w:rPr>
              <w:t>……………………………………………………..</w:t>
            </w:r>
          </w:p>
          <w:p w:rsidR="004604CA" w:rsidRPr="009B352E" w:rsidRDefault="004604CA" w:rsidP="00AE4EAB">
            <w:pPr>
              <w:rPr>
                <w:bCs/>
              </w:rPr>
            </w:pPr>
            <w:r w:rsidRPr="009B352E">
              <w:rPr>
                <w:bCs/>
              </w:rPr>
              <w:t>A short description</w:t>
            </w:r>
          </w:p>
          <w:p w:rsidR="004604CA" w:rsidRPr="009B352E" w:rsidRDefault="004604CA" w:rsidP="00AE4EAB">
            <w:pPr>
              <w:rPr>
                <w:bCs/>
              </w:rPr>
            </w:pPr>
          </w:p>
        </w:tc>
        <w:tc>
          <w:tcPr>
            <w:tcW w:w="790" w:type="dxa"/>
          </w:tcPr>
          <w:p w:rsidR="004604CA" w:rsidRPr="009B352E" w:rsidRDefault="004604CA" w:rsidP="009B352E">
            <w:pPr>
              <w:jc w:val="right"/>
              <w:rPr>
                <w:bCs/>
              </w:rPr>
            </w:pPr>
            <w:r w:rsidRPr="009B352E">
              <w:rPr>
                <w:bCs/>
              </w:rPr>
              <w:t>4</w:t>
            </w:r>
          </w:p>
        </w:tc>
      </w:tr>
    </w:tbl>
    <w:p w:rsidR="004604CA" w:rsidRDefault="004604CA" w:rsidP="00AE4EAB"/>
    <w:p w:rsidR="004604CA" w:rsidRPr="00213DDE" w:rsidRDefault="004604CA" w:rsidP="00AE4EAB">
      <w:pPr>
        <w:rPr>
          <w:b/>
          <w:bCs/>
          <w:color w:val="003366"/>
          <w:spacing w:val="20"/>
          <w:sz w:val="32"/>
          <w:szCs w:val="32"/>
        </w:rPr>
      </w:pPr>
      <w:r w:rsidRPr="00213DDE">
        <w:rPr>
          <w:b/>
          <w:bCs/>
          <w:color w:val="003366"/>
          <w:spacing w:val="20"/>
          <w:sz w:val="32"/>
          <w:szCs w:val="32"/>
        </w:rPr>
        <w:t>The changes in more detail</w:t>
      </w:r>
    </w:p>
    <w:p w:rsidR="004604CA" w:rsidRDefault="004604CA" w:rsidP="00AE4EAB">
      <w:pPr>
        <w:pStyle w:val="Heading1"/>
      </w:pPr>
      <w:bookmarkStart w:id="0" w:name="_Toc367865295"/>
      <w:bookmarkStart w:id="1" w:name="_Toc367872681"/>
      <w:r w:rsidRPr="0031268E">
        <w:t xml:space="preserve">People with care and </w:t>
      </w:r>
      <w:r w:rsidRPr="00E0059E">
        <w:t>mobility</w:t>
      </w:r>
      <w:r w:rsidRPr="0031268E">
        <w:t xml:space="preserve"> needs - Personal Independence Payment</w:t>
      </w:r>
      <w:bookmarkEnd w:id="0"/>
      <w:bookmarkEnd w:id="1"/>
    </w:p>
    <w:p w:rsidR="004604CA" w:rsidRDefault="004604CA" w:rsidP="00AE4EAB">
      <w:r>
        <w:t>This benefit is replacing Disability Living Allowance for those aged between 16 and 64. Already, people of that age have to claim PIP instead of DLA.</w:t>
      </w:r>
    </w:p>
    <w:p w:rsidR="004604CA" w:rsidRDefault="004604CA" w:rsidP="00AE4EAB"/>
    <w:p w:rsidR="004604CA" w:rsidRDefault="004604CA" w:rsidP="00AE4EAB">
      <w:pPr>
        <w:rPr>
          <w:rFonts w:cs="Arial"/>
        </w:rPr>
      </w:pPr>
      <w:r w:rsidRPr="00CE50A8">
        <w:rPr>
          <w:b/>
          <w:bCs/>
        </w:rPr>
        <w:t>From 28</w:t>
      </w:r>
      <w:r w:rsidRPr="00CE50A8">
        <w:rPr>
          <w:b/>
          <w:bCs/>
          <w:vertAlign w:val="superscript"/>
        </w:rPr>
        <w:t>th</w:t>
      </w:r>
      <w:r w:rsidRPr="00CE50A8">
        <w:rPr>
          <w:b/>
          <w:bCs/>
        </w:rPr>
        <w:t xml:space="preserve"> October</w:t>
      </w:r>
      <w:r>
        <w:t>, people getting</w:t>
      </w:r>
      <w:r w:rsidRPr="005A40D2">
        <w:rPr>
          <w:rFonts w:cs="Arial"/>
        </w:rPr>
        <w:t xml:space="preserve"> </w:t>
      </w:r>
      <w:r>
        <w:rPr>
          <w:rFonts w:cs="Arial"/>
        </w:rPr>
        <w:t>Disability Living Allowance and</w:t>
      </w:r>
      <w:r w:rsidRPr="005A40D2">
        <w:rPr>
          <w:rFonts w:cs="Arial"/>
        </w:rPr>
        <w:t xml:space="preserve"> </w:t>
      </w:r>
      <w:r>
        <w:rPr>
          <w:rFonts w:cs="Arial"/>
        </w:rPr>
        <w:t>aged 16 – 64, will be invited to claim</w:t>
      </w:r>
      <w:r w:rsidRPr="005A40D2">
        <w:rPr>
          <w:rFonts w:cs="Arial"/>
        </w:rPr>
        <w:t xml:space="preserve"> PIP</w:t>
      </w:r>
      <w:r>
        <w:rPr>
          <w:rFonts w:cs="Arial"/>
        </w:rPr>
        <w:t xml:space="preserve"> instead if:</w:t>
      </w:r>
    </w:p>
    <w:p w:rsidR="004604CA" w:rsidRPr="008A5FF1" w:rsidRDefault="004604CA" w:rsidP="00AE4EAB">
      <w:pPr>
        <w:keepLines/>
        <w:numPr>
          <w:ilvl w:val="0"/>
          <w:numId w:val="1"/>
        </w:numPr>
        <w:rPr>
          <w:rFonts w:cs="Arial"/>
        </w:rPr>
      </w:pPr>
      <w:r>
        <w:rPr>
          <w:rFonts w:cs="Arial"/>
        </w:rPr>
        <w:t xml:space="preserve">They report a </w:t>
      </w:r>
      <w:r w:rsidRPr="008A5FF1">
        <w:rPr>
          <w:rFonts w:cs="Arial"/>
        </w:rPr>
        <w:t xml:space="preserve">change in </w:t>
      </w:r>
      <w:r>
        <w:rPr>
          <w:rFonts w:cs="Arial"/>
        </w:rPr>
        <w:t>their care or mobility needs</w:t>
      </w:r>
      <w:r w:rsidRPr="008A5FF1">
        <w:rPr>
          <w:rFonts w:cs="Arial"/>
        </w:rPr>
        <w:t xml:space="preserve">, </w:t>
      </w:r>
      <w:r>
        <w:rPr>
          <w:rFonts w:cs="Arial"/>
        </w:rPr>
        <w:t>or</w:t>
      </w:r>
    </w:p>
    <w:p w:rsidR="004604CA" w:rsidRPr="008A5FF1" w:rsidRDefault="004604CA" w:rsidP="00AE4EAB">
      <w:pPr>
        <w:keepLines/>
        <w:numPr>
          <w:ilvl w:val="0"/>
          <w:numId w:val="1"/>
        </w:numPr>
        <w:rPr>
          <w:rFonts w:cs="Arial"/>
        </w:rPr>
      </w:pPr>
      <w:r>
        <w:rPr>
          <w:rFonts w:cs="Arial"/>
        </w:rPr>
        <w:t>A child on DLA</w:t>
      </w:r>
      <w:r w:rsidRPr="008A5FF1">
        <w:rPr>
          <w:rFonts w:cs="Arial"/>
        </w:rPr>
        <w:t xml:space="preserve"> </w:t>
      </w:r>
      <w:r>
        <w:rPr>
          <w:rFonts w:cs="Arial"/>
        </w:rPr>
        <w:t>is turning</w:t>
      </w:r>
      <w:r w:rsidRPr="008A5FF1">
        <w:rPr>
          <w:rFonts w:cs="Arial"/>
        </w:rPr>
        <w:t xml:space="preserve"> 16</w:t>
      </w:r>
      <w:r>
        <w:rPr>
          <w:rFonts w:cs="Arial"/>
        </w:rPr>
        <w:t xml:space="preserve"> (it is later for children classed as terminally ill)</w:t>
      </w:r>
      <w:r w:rsidRPr="008A5FF1">
        <w:rPr>
          <w:rFonts w:cs="Arial"/>
        </w:rPr>
        <w:t xml:space="preserve">, </w:t>
      </w:r>
      <w:r>
        <w:rPr>
          <w:rFonts w:cs="Arial"/>
        </w:rPr>
        <w:t>or</w:t>
      </w:r>
    </w:p>
    <w:p w:rsidR="004604CA" w:rsidRDefault="004604CA" w:rsidP="00AE4EAB">
      <w:pPr>
        <w:keepLines/>
        <w:numPr>
          <w:ilvl w:val="0"/>
          <w:numId w:val="1"/>
        </w:numPr>
        <w:rPr>
          <w:rFonts w:cs="Arial"/>
        </w:rPr>
      </w:pPr>
      <w:r>
        <w:rPr>
          <w:rFonts w:cs="Arial"/>
        </w:rPr>
        <w:t>An existing DLA award is due to end.</w:t>
      </w:r>
    </w:p>
    <w:p w:rsidR="004604CA" w:rsidRDefault="004604CA" w:rsidP="00CE50A8">
      <w:pPr>
        <w:keepLines/>
        <w:rPr>
          <w:rFonts w:cs="Arial"/>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9.95pt;width:594pt;height:91.5pt;z-index:251658240" o:regroupid="3">
            <v:imagedata r:id="rId7" o:title=""/>
          </v:shape>
        </w:pict>
      </w:r>
    </w:p>
    <w:p w:rsidR="004604CA" w:rsidRDefault="004604CA" w:rsidP="00CE50A8">
      <w:pPr>
        <w:keepLines/>
        <w:rPr>
          <w:rFonts w:cs="Arial"/>
        </w:rPr>
      </w:pPr>
    </w:p>
    <w:p w:rsidR="004604CA" w:rsidRDefault="004604CA" w:rsidP="00AE4EAB">
      <w:pPr>
        <w:ind w:left="57"/>
        <w:rPr>
          <w:rFonts w:cs="Arial"/>
        </w:rPr>
      </w:pPr>
      <w:r>
        <w:rPr>
          <w:noProof/>
          <w:lang w:eastAsia="en-GB"/>
        </w:rPr>
        <w:pict>
          <v:shape id="_x0000_s1027" type="#_x0000_t75" style="position:absolute;left:0;text-align:left;margin-left:135pt;margin-top:18.35pt;width:162pt;height:57.05pt;z-index:251659264" o:regroupid="3">
            <v:imagedata r:id="rId8" o:title=""/>
          </v:shape>
        </w:pict>
      </w:r>
      <w:r>
        <w:rPr>
          <w:noProof/>
          <w:lang w:eastAsia="en-GB"/>
        </w:rPr>
        <w:pict>
          <v:shape id="_x0000_s1028" type="#_x0000_t75" style="position:absolute;left:0;text-align:left;margin-left:-27pt;margin-top:9.35pt;width:1in;height:61.7pt;z-index:251660288" o:regroupid="3">
            <v:imagedata r:id="rId9" o:title=""/>
          </v:shape>
        </w:pict>
      </w:r>
    </w:p>
    <w:p w:rsidR="004604CA" w:rsidRPr="00C120EA" w:rsidRDefault="004604CA" w:rsidP="00AE4EAB">
      <w:pPr>
        <w:ind w:left="57"/>
        <w:rPr>
          <w:rFonts w:cs="Arial"/>
        </w:rPr>
      </w:pPr>
      <w:r w:rsidRPr="00C120EA">
        <w:rPr>
          <w:rFonts w:cs="Arial"/>
        </w:rPr>
        <w:t>It is important to remember that there is no automatic transfer to PIP, it must be claimed.</w:t>
      </w:r>
    </w:p>
    <w:p w:rsidR="004604CA" w:rsidRDefault="004604CA" w:rsidP="00AE4EAB">
      <w:pPr>
        <w:keepLines/>
        <w:rPr>
          <w:rFonts w:cs="Arial"/>
        </w:rPr>
      </w:pPr>
    </w:p>
    <w:p w:rsidR="004604CA" w:rsidRDefault="004604CA" w:rsidP="00AE4EAB">
      <w:pPr>
        <w:keepLines/>
        <w:rPr>
          <w:rFonts w:cs="Arial"/>
        </w:rPr>
      </w:pPr>
      <w:r>
        <w:rPr>
          <w:rFonts w:cs="Arial"/>
        </w:rPr>
        <w:t>The Government plan is that from October 2015 to 2017, the remaining people on DLA aged 16 – 64 will be told their DLA is coming to an end and will have to claim PIP instead.</w:t>
      </w:r>
    </w:p>
    <w:p w:rsidR="004604CA" w:rsidRDefault="004604CA" w:rsidP="00AE4EAB">
      <w:pPr>
        <w:keepLines/>
        <w:rPr>
          <w:rFonts w:cs="Arial"/>
        </w:rPr>
      </w:pPr>
    </w:p>
    <w:p w:rsidR="004604CA" w:rsidRDefault="004604CA" w:rsidP="00AE4EAB">
      <w:r>
        <w:t xml:space="preserve">More details from: </w:t>
      </w:r>
    </w:p>
    <w:p w:rsidR="004604CA" w:rsidRDefault="004604CA" w:rsidP="00AE4EAB">
      <w:pPr>
        <w:pStyle w:val="ListParagraph"/>
        <w:numPr>
          <w:ilvl w:val="0"/>
          <w:numId w:val="6"/>
        </w:numPr>
      </w:pPr>
      <w:r>
        <w:t xml:space="preserve">Disability Rights </w:t>
      </w:r>
      <w:smartTag w:uri="urn:schemas-microsoft-com:office:smarttags" w:element="City">
        <w:smartTag w:uri="urn:schemas-microsoft-com:office:smarttags" w:element="country-region">
          <w:smartTag w:uri="urn:schemas-microsoft-com:office:smarttags" w:element="place">
            <w:r>
              <w:t>UK</w:t>
            </w:r>
          </w:smartTag>
        </w:smartTag>
      </w:smartTag>
      <w:r>
        <w:t xml:space="preserve">: </w:t>
      </w:r>
    </w:p>
    <w:p w:rsidR="004604CA" w:rsidRDefault="004604CA" w:rsidP="00AE4EAB">
      <w:pPr>
        <w:ind w:firstLine="360"/>
      </w:pPr>
      <w:hyperlink r:id="rId10" w:history="1">
        <w:r w:rsidRPr="00033C18">
          <w:rPr>
            <w:rStyle w:val="Hyperlink"/>
          </w:rPr>
          <w:t>www.disabilityrightsuk.org/personal-independence-payment-pip</w:t>
        </w:r>
      </w:hyperlink>
      <w:r>
        <w:t xml:space="preserve"> </w:t>
      </w:r>
    </w:p>
    <w:p w:rsidR="004604CA" w:rsidRDefault="004604CA" w:rsidP="00AE4EAB">
      <w:pPr>
        <w:pStyle w:val="ListParagraph"/>
        <w:numPr>
          <w:ilvl w:val="0"/>
          <w:numId w:val="6"/>
        </w:numPr>
      </w:pPr>
      <w:r>
        <w:t xml:space="preserve">DWP: </w:t>
      </w:r>
      <w:hyperlink r:id="rId11" w:history="1">
        <w:r w:rsidRPr="00033C18">
          <w:rPr>
            <w:rStyle w:val="Hyperlink"/>
          </w:rPr>
          <w:t>www.gov.uk/pip</w:t>
        </w:r>
      </w:hyperlink>
      <w:r>
        <w:t xml:space="preserve"> </w:t>
      </w:r>
    </w:p>
    <w:p w:rsidR="004604CA" w:rsidRPr="00307645" w:rsidRDefault="004604CA" w:rsidP="00AE4EAB">
      <w:pPr>
        <w:pStyle w:val="Heading1"/>
      </w:pPr>
      <w:bookmarkStart w:id="2" w:name="_Toc367865296"/>
      <w:bookmarkStart w:id="3" w:name="_Toc367872682"/>
      <w:r w:rsidRPr="0031268E">
        <w:t>Benefit appeal changes</w:t>
      </w:r>
      <w:bookmarkEnd w:id="2"/>
      <w:bookmarkEnd w:id="3"/>
    </w:p>
    <w:p w:rsidR="004604CA" w:rsidRDefault="004604CA" w:rsidP="00AE4EAB">
      <w:pPr>
        <w:keepLines/>
        <w:rPr>
          <w:rFonts w:cs="Arial"/>
          <w:bCs/>
        </w:rPr>
      </w:pPr>
      <w:r>
        <w:rPr>
          <w:rFonts w:cs="Arial"/>
          <w:bCs/>
        </w:rPr>
        <w:t>If a person is unhappy with a benefit decision, they can appeal to the independent courts and tribunal Service.</w:t>
      </w:r>
    </w:p>
    <w:p w:rsidR="004604CA" w:rsidRDefault="004604CA" w:rsidP="00AE4EAB">
      <w:pPr>
        <w:keepLines/>
        <w:rPr>
          <w:rFonts w:cs="Arial"/>
          <w:bCs/>
        </w:rPr>
      </w:pPr>
    </w:p>
    <w:p w:rsidR="004604CA" w:rsidRDefault="004604CA" w:rsidP="00AE4EAB">
      <w:pPr>
        <w:keepLines/>
        <w:rPr>
          <w:rFonts w:cs="Arial"/>
          <w:bCs/>
        </w:rPr>
      </w:pPr>
      <w:r w:rsidRPr="00BD418D">
        <w:rPr>
          <w:rFonts w:cs="Arial"/>
          <w:b/>
          <w:bCs/>
        </w:rPr>
        <w:t>This will change</w:t>
      </w:r>
      <w:r w:rsidRPr="00A11F90">
        <w:rPr>
          <w:rFonts w:cs="Arial"/>
          <w:b/>
          <w:bCs/>
        </w:rPr>
        <w:t xml:space="preserve"> from 28</w:t>
      </w:r>
      <w:r w:rsidRPr="00A11F90">
        <w:rPr>
          <w:rFonts w:cs="Arial"/>
          <w:b/>
          <w:bCs/>
          <w:vertAlign w:val="superscript"/>
        </w:rPr>
        <w:t>th</w:t>
      </w:r>
      <w:r w:rsidRPr="00A11F90">
        <w:rPr>
          <w:rFonts w:cs="Arial"/>
          <w:b/>
          <w:bCs/>
        </w:rPr>
        <w:t xml:space="preserve"> October</w:t>
      </w:r>
      <w:r>
        <w:rPr>
          <w:rFonts w:cs="Arial"/>
          <w:bCs/>
        </w:rPr>
        <w:t xml:space="preserve">. Instead, they will first have to ask the DWP to reconsider their decision. This is called a ‘mandatory reconsideration’. The DWP may phone to explain their decision. If the claimant is unhappy with that decision, they have one month (from the date of the DWP decision letter) to appeal directly to the courts and tribunal service, called a ‘direct lodgement’. </w:t>
      </w:r>
    </w:p>
    <w:p w:rsidR="004604CA" w:rsidRDefault="004604CA" w:rsidP="00AE4EAB">
      <w:pPr>
        <w:keepLines/>
        <w:rPr>
          <w:rFonts w:cs="Arial"/>
          <w:bCs/>
        </w:rPr>
      </w:pPr>
    </w:p>
    <w:p w:rsidR="004604CA" w:rsidRPr="00884477" w:rsidRDefault="004604CA" w:rsidP="00AE4EAB">
      <w:pPr>
        <w:keepLines/>
        <w:rPr>
          <w:rFonts w:cs="Arial"/>
          <w:bCs/>
        </w:rPr>
      </w:pPr>
      <w:r>
        <w:rPr>
          <w:rFonts w:cs="Arial"/>
          <w:bCs/>
        </w:rPr>
        <w:t xml:space="preserve">These new rules were already introduced for PIP and in Universal Credit areas. </w:t>
      </w:r>
      <w:r w:rsidRPr="00884477">
        <w:rPr>
          <w:rFonts w:cs="Arial"/>
          <w:bCs/>
        </w:rPr>
        <w:t>They will apply to all other DWP benefits and child maintenance cases. Appeal and dispute rules for Child Benefit or Tax Credits will continue as before.</w:t>
      </w:r>
    </w:p>
    <w:p w:rsidR="004604CA" w:rsidRPr="00884477" w:rsidRDefault="004604CA" w:rsidP="00AE4EAB">
      <w:pPr>
        <w:keepLines/>
        <w:rPr>
          <w:rFonts w:cs="Arial"/>
          <w:bCs/>
        </w:rPr>
      </w:pPr>
    </w:p>
    <w:p w:rsidR="004604CA" w:rsidRDefault="004604CA" w:rsidP="00AE4EAB">
      <w:pPr>
        <w:keepLines/>
        <w:rPr>
          <w:rFonts w:cs="Arial"/>
          <w:b/>
          <w:bCs/>
        </w:rPr>
      </w:pPr>
      <w:r w:rsidRPr="001A2456">
        <w:rPr>
          <w:rFonts w:cs="Arial"/>
          <w:b/>
          <w:bCs/>
        </w:rPr>
        <w:t>The process</w:t>
      </w:r>
      <w:r>
        <w:rPr>
          <w:rFonts w:cs="Arial"/>
          <w:b/>
          <w:bCs/>
        </w:rPr>
        <w:t xml:space="preserve"> in more detail</w:t>
      </w:r>
      <w:r w:rsidRPr="001A2456">
        <w:rPr>
          <w:rFonts w:cs="Arial"/>
          <w:b/>
          <w:bCs/>
        </w:rPr>
        <w:t>:</w:t>
      </w:r>
    </w:p>
    <w:p w:rsidR="004604CA" w:rsidRPr="001A2456" w:rsidRDefault="004604CA" w:rsidP="00AE4EAB">
      <w:pPr>
        <w:keepLines/>
        <w:rPr>
          <w:rFonts w:cs="Arial"/>
          <w:b/>
          <w:bCs/>
        </w:rPr>
      </w:pPr>
    </w:p>
    <w:p w:rsidR="004604CA" w:rsidRPr="0021033C" w:rsidRDefault="004604CA" w:rsidP="00AE4EAB">
      <w:pPr>
        <w:pStyle w:val="ListParagraph"/>
        <w:keepLines/>
        <w:numPr>
          <w:ilvl w:val="0"/>
          <w:numId w:val="3"/>
        </w:numPr>
        <w:rPr>
          <w:rFonts w:cs="Arial"/>
          <w:bCs/>
        </w:rPr>
      </w:pPr>
      <w:r w:rsidRPr="0021033C">
        <w:rPr>
          <w:rFonts w:cs="Arial"/>
          <w:bCs/>
        </w:rPr>
        <w:t>Written decision from DWP.</w:t>
      </w:r>
    </w:p>
    <w:p w:rsidR="004604CA" w:rsidRPr="0021033C" w:rsidRDefault="004604CA" w:rsidP="00AE4EAB">
      <w:pPr>
        <w:pStyle w:val="ListParagraph"/>
        <w:keepLines/>
        <w:numPr>
          <w:ilvl w:val="0"/>
          <w:numId w:val="3"/>
        </w:numPr>
        <w:rPr>
          <w:rFonts w:cs="Arial"/>
          <w:bCs/>
        </w:rPr>
      </w:pPr>
      <w:r w:rsidRPr="0021033C">
        <w:rPr>
          <w:rFonts w:cs="Arial"/>
          <w:bCs/>
        </w:rPr>
        <w:t>Claimant has option of asking for an explanation.</w:t>
      </w:r>
    </w:p>
    <w:p w:rsidR="004604CA" w:rsidRPr="0021033C" w:rsidRDefault="004604CA" w:rsidP="00AE4EAB">
      <w:pPr>
        <w:pStyle w:val="ListParagraph"/>
        <w:keepLines/>
        <w:numPr>
          <w:ilvl w:val="0"/>
          <w:numId w:val="3"/>
        </w:numPr>
        <w:rPr>
          <w:rFonts w:cs="Arial"/>
          <w:bCs/>
        </w:rPr>
      </w:pPr>
      <w:r w:rsidRPr="0021033C">
        <w:rPr>
          <w:rFonts w:cs="Arial"/>
          <w:bCs/>
        </w:rPr>
        <w:t>Claimant can ask for a ‘mandatory reconsideration’.</w:t>
      </w:r>
    </w:p>
    <w:p w:rsidR="004604CA" w:rsidRPr="0021033C" w:rsidRDefault="004604CA" w:rsidP="00AE4EAB">
      <w:pPr>
        <w:pStyle w:val="ListParagraph"/>
        <w:keepLines/>
        <w:numPr>
          <w:ilvl w:val="0"/>
          <w:numId w:val="3"/>
        </w:numPr>
        <w:rPr>
          <w:rFonts w:cs="Arial"/>
          <w:bCs/>
        </w:rPr>
      </w:pPr>
      <w:r w:rsidRPr="0021033C">
        <w:rPr>
          <w:rFonts w:cs="Arial"/>
          <w:bCs/>
        </w:rPr>
        <w:t>DWP looks at their decision again.</w:t>
      </w:r>
    </w:p>
    <w:p w:rsidR="004604CA" w:rsidRPr="0021033C" w:rsidRDefault="004604CA" w:rsidP="00AE4EAB">
      <w:pPr>
        <w:pStyle w:val="ListParagraph"/>
        <w:keepLines/>
        <w:numPr>
          <w:ilvl w:val="0"/>
          <w:numId w:val="3"/>
        </w:numPr>
        <w:rPr>
          <w:rFonts w:cs="Arial"/>
          <w:bCs/>
        </w:rPr>
      </w:pPr>
      <w:r w:rsidRPr="0021033C">
        <w:rPr>
          <w:rFonts w:cs="Arial"/>
          <w:bCs/>
        </w:rPr>
        <w:t>DWP rings claimant to explain and discuss decision.</w:t>
      </w:r>
    </w:p>
    <w:p w:rsidR="004604CA" w:rsidRPr="0021033C" w:rsidRDefault="004604CA" w:rsidP="00AE4EAB">
      <w:pPr>
        <w:pStyle w:val="ListParagraph"/>
        <w:keepLines/>
        <w:numPr>
          <w:ilvl w:val="0"/>
          <w:numId w:val="3"/>
        </w:numPr>
        <w:rPr>
          <w:rFonts w:cs="Arial"/>
          <w:bCs/>
        </w:rPr>
      </w:pPr>
      <w:r w:rsidRPr="0021033C">
        <w:rPr>
          <w:rFonts w:cs="Arial"/>
          <w:bCs/>
        </w:rPr>
        <w:t>Claimant may submit further evidence now or later (the sooner the better).</w:t>
      </w:r>
    </w:p>
    <w:p w:rsidR="004604CA" w:rsidRDefault="004604CA" w:rsidP="00AE4EAB">
      <w:pPr>
        <w:pStyle w:val="ListParagraph"/>
        <w:keepLines/>
        <w:numPr>
          <w:ilvl w:val="0"/>
          <w:numId w:val="3"/>
        </w:numPr>
        <w:rPr>
          <w:rFonts w:cs="Arial"/>
          <w:bCs/>
        </w:rPr>
      </w:pPr>
      <w:r w:rsidRPr="0021033C">
        <w:rPr>
          <w:rFonts w:cs="Arial"/>
          <w:bCs/>
        </w:rPr>
        <w:t>Claimant receives detailed mandatory reconsideration notice letter, including how to appeal.</w:t>
      </w:r>
    </w:p>
    <w:p w:rsidR="004604CA" w:rsidRPr="0021033C" w:rsidRDefault="004604CA" w:rsidP="00AE4EAB">
      <w:pPr>
        <w:pStyle w:val="ListParagraph"/>
        <w:keepLines/>
        <w:numPr>
          <w:ilvl w:val="0"/>
          <w:numId w:val="3"/>
        </w:numPr>
        <w:rPr>
          <w:rFonts w:cs="Arial"/>
          <w:bCs/>
        </w:rPr>
      </w:pPr>
      <w:r>
        <w:rPr>
          <w:rFonts w:cs="Arial"/>
          <w:bCs/>
        </w:rPr>
        <w:t xml:space="preserve">If a claimant is unhappy with this decision, they have </w:t>
      </w:r>
      <w:r w:rsidRPr="00AE02DC">
        <w:rPr>
          <w:rFonts w:cs="Arial"/>
          <w:b/>
          <w:bCs/>
        </w:rPr>
        <w:t>one month</w:t>
      </w:r>
      <w:r>
        <w:rPr>
          <w:rFonts w:cs="Arial"/>
          <w:bCs/>
        </w:rPr>
        <w:t xml:space="preserve"> to </w:t>
      </w:r>
      <w:r w:rsidRPr="00AE02DC">
        <w:rPr>
          <w:rFonts w:cs="Arial"/>
          <w:bCs/>
        </w:rPr>
        <w:t>send in the form ‘SSCS1’ directly to the court and tribunal service.</w:t>
      </w:r>
    </w:p>
    <w:p w:rsidR="004604CA" w:rsidRDefault="004604CA" w:rsidP="00AE4EAB">
      <w:pPr>
        <w:pStyle w:val="ListParagraph"/>
        <w:keepLines/>
        <w:numPr>
          <w:ilvl w:val="0"/>
          <w:numId w:val="5"/>
        </w:numPr>
        <w:rPr>
          <w:rFonts w:cs="Arial"/>
          <w:bCs/>
        </w:rPr>
      </w:pPr>
      <w:r w:rsidRPr="00AE02DC">
        <w:rPr>
          <w:rFonts w:cs="Arial"/>
          <w:bCs/>
        </w:rPr>
        <w:t xml:space="preserve">They must also enclose the DWP mandatory reconsideration letter. </w:t>
      </w:r>
    </w:p>
    <w:p w:rsidR="004604CA" w:rsidRDefault="004604CA" w:rsidP="00AE4EAB">
      <w:pPr>
        <w:pStyle w:val="ListParagraph"/>
        <w:keepLines/>
        <w:numPr>
          <w:ilvl w:val="0"/>
          <w:numId w:val="5"/>
        </w:numPr>
        <w:rPr>
          <w:rFonts w:cs="Arial"/>
          <w:bCs/>
        </w:rPr>
      </w:pPr>
      <w:r w:rsidRPr="00AE02DC">
        <w:rPr>
          <w:rFonts w:cs="Arial"/>
          <w:bCs/>
        </w:rPr>
        <w:t>If the appeal contains further evidence the DWP will be asked to reconsider its decision.</w:t>
      </w:r>
    </w:p>
    <w:p w:rsidR="004604CA" w:rsidRDefault="004604CA" w:rsidP="00AE4EAB">
      <w:pPr>
        <w:pStyle w:val="ListParagraph"/>
        <w:keepLines/>
        <w:numPr>
          <w:ilvl w:val="0"/>
          <w:numId w:val="5"/>
        </w:numPr>
        <w:rPr>
          <w:rFonts w:cs="Arial"/>
          <w:bCs/>
        </w:rPr>
      </w:pPr>
      <w:r w:rsidRPr="00AE02DC">
        <w:rPr>
          <w:rFonts w:cs="Arial"/>
          <w:bCs/>
        </w:rPr>
        <w:t xml:space="preserve">They can get the form ‘SSCS1’ form from the DWP, an advice agency or the tribunal service website: </w:t>
      </w:r>
      <w:hyperlink r:id="rId12" w:history="1">
        <w:r w:rsidRPr="00033C18">
          <w:rPr>
            <w:rStyle w:val="Hyperlink"/>
            <w:rFonts w:cs="Arial"/>
            <w:bCs/>
          </w:rPr>
          <w:t>www.justice.gov.uk/forms/hmcts/sscs</w:t>
        </w:r>
      </w:hyperlink>
    </w:p>
    <w:p w:rsidR="004604CA" w:rsidRDefault="004604CA" w:rsidP="00AE4EAB">
      <w:pPr>
        <w:pStyle w:val="ListParagraph"/>
        <w:keepLines/>
        <w:numPr>
          <w:ilvl w:val="0"/>
          <w:numId w:val="5"/>
        </w:numPr>
        <w:rPr>
          <w:rFonts w:cs="Arial"/>
          <w:bCs/>
        </w:rPr>
      </w:pPr>
      <w:r w:rsidRPr="00AE02DC">
        <w:rPr>
          <w:rFonts w:cs="Arial"/>
          <w:bCs/>
        </w:rPr>
        <w:t>The tribunal service</w:t>
      </w:r>
      <w:r>
        <w:rPr>
          <w:rFonts w:cs="Arial"/>
          <w:bCs/>
        </w:rPr>
        <w:t xml:space="preserve"> will write to the claimant. The claimant must reply.</w:t>
      </w:r>
    </w:p>
    <w:p w:rsidR="004604CA" w:rsidRPr="00AE02DC" w:rsidRDefault="004604CA" w:rsidP="00AE4EAB">
      <w:pPr>
        <w:pStyle w:val="ListParagraph"/>
        <w:keepLines/>
        <w:numPr>
          <w:ilvl w:val="0"/>
          <w:numId w:val="5"/>
        </w:numPr>
        <w:rPr>
          <w:rFonts w:cs="Arial"/>
          <w:bCs/>
        </w:rPr>
      </w:pPr>
      <w:r>
        <w:rPr>
          <w:rFonts w:cs="Arial"/>
          <w:bCs/>
        </w:rPr>
        <w:t>If the claimant chose to attend a hearing, s/he will be told of the date.</w:t>
      </w:r>
    </w:p>
    <w:p w:rsidR="004604CA" w:rsidRDefault="004604CA" w:rsidP="00AE4EAB">
      <w:pPr>
        <w:keepLines/>
        <w:rPr>
          <w:rFonts w:cs="Arial"/>
          <w:bCs/>
        </w:rPr>
      </w:pPr>
    </w:p>
    <w:p w:rsidR="004604CA" w:rsidRDefault="004604CA" w:rsidP="00AE4EAB">
      <w:pPr>
        <w:keepLines/>
        <w:rPr>
          <w:rFonts w:cs="Arial"/>
          <w:bCs/>
        </w:rPr>
      </w:pPr>
      <w:r>
        <w:rPr>
          <w:rFonts w:cs="Arial"/>
          <w:bCs/>
        </w:rPr>
        <w:t xml:space="preserve">More details: </w:t>
      </w:r>
    </w:p>
    <w:p w:rsidR="004604CA" w:rsidRPr="006C63C8" w:rsidRDefault="004604CA" w:rsidP="00AE4EAB">
      <w:pPr>
        <w:pStyle w:val="ListParagraph"/>
        <w:keepLines/>
        <w:numPr>
          <w:ilvl w:val="0"/>
          <w:numId w:val="8"/>
        </w:numPr>
        <w:rPr>
          <w:rFonts w:cs="Arial"/>
          <w:bCs/>
        </w:rPr>
      </w:pPr>
      <w:r w:rsidRPr="006C63C8">
        <w:t>From the</w:t>
      </w:r>
      <w:r w:rsidRPr="006C63C8">
        <w:rPr>
          <w:rFonts w:cs="Arial"/>
          <w:bCs/>
        </w:rPr>
        <w:t xml:space="preserve"> DWP:</w:t>
      </w:r>
      <w:r>
        <w:rPr>
          <w:rFonts w:cs="Arial"/>
          <w:bCs/>
        </w:rPr>
        <w:br/>
      </w:r>
      <w:hyperlink r:id="rId13" w:history="1">
        <w:r w:rsidRPr="00033C18">
          <w:rPr>
            <w:rStyle w:val="Hyperlink"/>
            <w:rFonts w:cs="Arial"/>
            <w:bCs/>
          </w:rPr>
          <w:t>www.gov.uk/government/publications/appeals-process-changes-for-dwp-benefits-and-child-maintenance</w:t>
        </w:r>
      </w:hyperlink>
    </w:p>
    <w:p w:rsidR="004604CA" w:rsidRPr="00307645" w:rsidRDefault="004604CA" w:rsidP="00AE4EAB">
      <w:pPr>
        <w:pStyle w:val="ListParagraph"/>
        <w:numPr>
          <w:ilvl w:val="0"/>
          <w:numId w:val="8"/>
        </w:numPr>
        <w:rPr>
          <w:rFonts w:cs="Arial"/>
          <w:bCs/>
        </w:rPr>
      </w:pPr>
      <w:r w:rsidRPr="006C63C8">
        <w:rPr>
          <w:rFonts w:cs="Arial"/>
          <w:bCs/>
        </w:rPr>
        <w:t>From Child Poverty Action Group:</w:t>
      </w:r>
      <w:r>
        <w:rPr>
          <w:rFonts w:cs="Arial"/>
          <w:bCs/>
        </w:rPr>
        <w:br/>
      </w:r>
      <w:hyperlink r:id="rId14" w:history="1">
        <w:r w:rsidRPr="00033C18">
          <w:rPr>
            <w:rStyle w:val="Hyperlink"/>
            <w:rFonts w:cs="Arial"/>
            <w:bCs/>
          </w:rPr>
          <w:t>www.cpag.org.uk/content/new-appeals-rules-and-procedures</w:t>
        </w:r>
      </w:hyperlink>
      <w:r w:rsidRPr="006C63C8">
        <w:rPr>
          <w:rFonts w:cs="Arial"/>
          <w:bCs/>
        </w:rPr>
        <w:t xml:space="preserve"> </w:t>
      </w:r>
    </w:p>
    <w:p w:rsidR="004604CA" w:rsidRPr="0031268E" w:rsidRDefault="004604CA" w:rsidP="00AE4EAB">
      <w:pPr>
        <w:pStyle w:val="Heading1"/>
      </w:pPr>
      <w:bookmarkStart w:id="4" w:name="_Toc367865297"/>
      <w:bookmarkStart w:id="5" w:name="_Toc367872683"/>
      <w:r>
        <w:t>Universal Credit – no</w:t>
      </w:r>
      <w:r w:rsidRPr="0031268E">
        <w:t>!</w:t>
      </w:r>
      <w:bookmarkEnd w:id="4"/>
      <w:bookmarkEnd w:id="5"/>
    </w:p>
    <w:p w:rsidR="004604CA" w:rsidRDefault="004604CA" w:rsidP="00AE4EAB">
      <w:r>
        <w:t>Universal Credit is being rolled out to 6 Jobcentre Plus areas for new claims from unemployed single claimants. None in the North East.</w:t>
      </w:r>
    </w:p>
    <w:p w:rsidR="004604CA" w:rsidRPr="0031268E" w:rsidRDefault="004604CA" w:rsidP="00AE4EAB">
      <w:pPr>
        <w:pStyle w:val="Heading1"/>
      </w:pPr>
      <w:bookmarkStart w:id="6" w:name="_Toc367865298"/>
      <w:bookmarkStart w:id="7" w:name="_Toc367872684"/>
      <w:r w:rsidRPr="0031268E">
        <w:t>Claimant commitment – yes!</w:t>
      </w:r>
      <w:bookmarkEnd w:id="6"/>
      <w:bookmarkEnd w:id="7"/>
    </w:p>
    <w:p w:rsidR="004604CA" w:rsidRDefault="004604CA" w:rsidP="00AE4EAB">
      <w:pPr>
        <w:tabs>
          <w:tab w:val="left" w:pos="1373"/>
        </w:tabs>
      </w:pPr>
      <w:r>
        <w:t>The ‘claimant commitment’ was originally part of Universal Credit but it is being rolled out early from October 2013 across the country in Jobcentre Plus offices.</w:t>
      </w:r>
    </w:p>
    <w:p w:rsidR="004604CA" w:rsidRDefault="004604CA" w:rsidP="00AE4EAB"/>
    <w:p w:rsidR="004604CA" w:rsidRDefault="004604CA" w:rsidP="00AE4EAB">
      <w:r>
        <w:t>The Government say that</w:t>
      </w:r>
      <w:r w:rsidRPr="00E852E3">
        <w:t xml:space="preserve"> </w:t>
      </w:r>
      <w:r>
        <w:t>“Jobseekers will have to account more clearly for their efforts to find work and will involve a weekly timetable of tasks to complete.” They will be expected to look for work for the same number of hours they are expected to work. This could be up to 35 hours, minus any hours of work related activity. There will be different requirements depending on which group they are in. Jobseekers for example, will have the highest level of work activity.</w:t>
      </w:r>
    </w:p>
    <w:p w:rsidR="004604CA" w:rsidRDefault="004604CA" w:rsidP="00AE4EAB"/>
    <w:p w:rsidR="004604CA" w:rsidRDefault="004604CA" w:rsidP="00AE4EAB">
      <w:r>
        <w:t xml:space="preserve">The claimant commitment is “backed by a strict compliance regime”. Those who fail to comply with this and other work related responsibilities “risk losing their benefit”. </w:t>
      </w:r>
    </w:p>
    <w:p w:rsidR="004604CA" w:rsidRDefault="004604CA" w:rsidP="00AE4EAB"/>
    <w:p w:rsidR="004604CA" w:rsidRDefault="004604CA" w:rsidP="00AE4EAB">
      <w:r>
        <w:t>This follows the increase of the sanction period of 2 to 26 weeks in October last year, from 4 weeks to 3 years.</w:t>
      </w:r>
    </w:p>
    <w:p w:rsidR="004604CA" w:rsidRDefault="004604CA" w:rsidP="00AE4EAB">
      <w:r>
        <w:t xml:space="preserve"> </w:t>
      </w:r>
    </w:p>
    <w:p w:rsidR="004604CA" w:rsidRDefault="004604CA" w:rsidP="00AE4EAB">
      <w:r>
        <w:t>More details from the DWP:</w:t>
      </w:r>
    </w:p>
    <w:p w:rsidR="004604CA" w:rsidRDefault="004604CA" w:rsidP="00AE4EAB">
      <w:hyperlink r:id="rId15" w:history="1">
        <w:r w:rsidRPr="00033C18">
          <w:rPr>
            <w:rStyle w:val="Hyperlink"/>
          </w:rPr>
          <w:t>www.gov.uk/government/news/claimant-commitment-to-spell-out-what-jobseekers-must-do-in-return-for-benefits</w:t>
        </w:r>
      </w:hyperlink>
      <w:r>
        <w:t>, and</w:t>
      </w:r>
    </w:p>
    <w:p w:rsidR="004604CA" w:rsidRPr="00D34A13" w:rsidRDefault="004604CA" w:rsidP="00D34A13">
      <w:pPr>
        <w:pStyle w:val="Header"/>
        <w:rPr>
          <w:rFonts w:cs="Arial"/>
          <w:szCs w:val="24"/>
        </w:rPr>
      </w:pPr>
      <w:hyperlink r:id="rId16" w:history="1">
        <w:r w:rsidRPr="006F12C4">
          <w:rPr>
            <w:rStyle w:val="Hyperlink"/>
            <w:rFonts w:cs="Arial"/>
            <w:szCs w:val="24"/>
          </w:rPr>
          <w:t>https://www.gov.uk/government/uploads/system/uploads/attachment_data/file/209385/foi-2451-2013.pdf</w:t>
        </w:r>
      </w:hyperlink>
    </w:p>
    <w:p w:rsidR="004604CA" w:rsidRDefault="004604CA" w:rsidP="00AE4EAB"/>
    <w:p w:rsidR="004604CA" w:rsidRDefault="004604CA" w:rsidP="00AE4EAB">
      <w:r>
        <w:t xml:space="preserve">Also see the recent report from Homeless link: </w:t>
      </w:r>
      <w:hyperlink r:id="rId17" w:anchor=".UkGpwHlwbGh" w:history="1">
        <w:r w:rsidRPr="00033C18">
          <w:rPr>
            <w:rStyle w:val="Hyperlink"/>
          </w:rPr>
          <w:t>http://homeless.org.uk/news/benefit-sanctions-hitting-homeless-people-hardest#.UkGpwHlwbGh</w:t>
        </w:r>
      </w:hyperlink>
      <w:r>
        <w:t xml:space="preserve"> </w:t>
      </w:r>
    </w:p>
    <w:p w:rsidR="004604CA" w:rsidRPr="00307645" w:rsidRDefault="004604CA" w:rsidP="00AE4EAB">
      <w:pPr>
        <w:pStyle w:val="Heading1"/>
      </w:pPr>
      <w:bookmarkStart w:id="8" w:name="_Toc367865299"/>
      <w:bookmarkStart w:id="9" w:name="_Toc367872685"/>
      <w:r>
        <w:t>Roundup of other changes</w:t>
      </w:r>
      <w:bookmarkEnd w:id="8"/>
      <w:bookmarkEnd w:id="9"/>
    </w:p>
    <w:p w:rsidR="004604CA" w:rsidRDefault="004604CA" w:rsidP="00AE4EAB">
      <w:pPr>
        <w:rPr>
          <w:szCs w:val="24"/>
        </w:rPr>
      </w:pPr>
      <w:r>
        <w:rPr>
          <w:szCs w:val="24"/>
        </w:rPr>
        <w:t xml:space="preserve">The </w:t>
      </w:r>
      <w:r w:rsidRPr="008867FA">
        <w:rPr>
          <w:b/>
          <w:szCs w:val="24"/>
        </w:rPr>
        <w:t>under occupancy charge</w:t>
      </w:r>
      <w:r>
        <w:rPr>
          <w:szCs w:val="24"/>
        </w:rPr>
        <w:t xml:space="preserve"> (also known as the ‘bedroom tax’) continues to cause problems for many people. A recent legal challenge on disability discrimination grounds failed but is being appealed to the higher court.</w:t>
      </w:r>
    </w:p>
    <w:p w:rsidR="004604CA" w:rsidRDefault="004604CA" w:rsidP="00AE4EAB">
      <w:pPr>
        <w:rPr>
          <w:szCs w:val="24"/>
        </w:rPr>
      </w:pPr>
    </w:p>
    <w:p w:rsidR="004604CA" w:rsidRDefault="004604CA" w:rsidP="00AE4EAB">
      <w:pPr>
        <w:rPr>
          <w:szCs w:val="24"/>
        </w:rPr>
      </w:pPr>
      <w:r>
        <w:rPr>
          <w:szCs w:val="24"/>
        </w:rPr>
        <w:t xml:space="preserve">Regular news can be found on the ‘inside housing’ website: </w:t>
      </w:r>
      <w:hyperlink r:id="rId18" w:history="1">
        <w:r w:rsidRPr="00033C18">
          <w:rPr>
            <w:rStyle w:val="Hyperlink"/>
            <w:szCs w:val="24"/>
          </w:rPr>
          <w:t>www.insidehousing.co.uk/</w:t>
        </w:r>
      </w:hyperlink>
      <w:r>
        <w:rPr>
          <w:szCs w:val="24"/>
        </w:rPr>
        <w:t xml:space="preserve"> </w:t>
      </w:r>
    </w:p>
    <w:p w:rsidR="004604CA" w:rsidRDefault="004604CA" w:rsidP="00AE4EAB">
      <w:pPr>
        <w:rPr>
          <w:szCs w:val="24"/>
        </w:rPr>
      </w:pPr>
    </w:p>
    <w:p w:rsidR="004604CA" w:rsidRDefault="004604CA" w:rsidP="00AE4EAB">
      <w:r>
        <w:rPr>
          <w:szCs w:val="24"/>
        </w:rPr>
        <w:t xml:space="preserve">In the meantime, the Government has given Local Authorities an extra £35 million towards their </w:t>
      </w:r>
      <w:r w:rsidRPr="008867FA">
        <w:rPr>
          <w:b/>
          <w:szCs w:val="24"/>
        </w:rPr>
        <w:t>Discretionary Housing Payment</w:t>
      </w:r>
      <w:r>
        <w:rPr>
          <w:szCs w:val="24"/>
        </w:rPr>
        <w:t xml:space="preserve"> funds. This is a time limited, discretionary fund for Housing Benefit claimants in financial hardship. It can be claimed from </w:t>
      </w:r>
      <w:r>
        <w:t xml:space="preserve">Revenue and Benefits: </w:t>
      </w:r>
    </w:p>
    <w:p w:rsidR="004604CA" w:rsidRDefault="004604CA" w:rsidP="00AE4EAB">
      <w:r>
        <w:t xml:space="preserve">Phone: 0191 278 7878. Email: </w:t>
      </w:r>
      <w:hyperlink r:id="rId19" w:tooltip="mailto:benefits@newcastle.gov.uk" w:history="1">
        <w:r>
          <w:rPr>
            <w:rStyle w:val="Hyperlink"/>
            <w:color w:val="000000"/>
          </w:rPr>
          <w:t>benefits@newcastle.gov.uk</w:t>
        </w:r>
      </w:hyperlink>
    </w:p>
    <w:p w:rsidR="004604CA" w:rsidRPr="008867FA" w:rsidRDefault="004604CA" w:rsidP="00AE4EAB">
      <w:pPr>
        <w:rPr>
          <w:szCs w:val="24"/>
        </w:rPr>
      </w:pPr>
      <w:r>
        <w:rPr>
          <w:color w:val="000000"/>
        </w:rPr>
        <w:t>Website: </w:t>
      </w:r>
      <w:hyperlink r:id="rId20" w:history="1">
        <w:r w:rsidRPr="00033C18">
          <w:rPr>
            <w:rStyle w:val="Hyperlink"/>
          </w:rPr>
          <w:t>www.newcastle.gov.uk/benefits-and-council-tax/benefits/discretionary-housing-payments</w:t>
        </w:r>
      </w:hyperlink>
    </w:p>
    <w:p w:rsidR="004604CA" w:rsidRDefault="004604CA" w:rsidP="00AE4EAB"/>
    <w:p w:rsidR="004604CA" w:rsidRPr="000C7F50" w:rsidRDefault="004604CA" w:rsidP="00AE4EAB">
      <w:pPr>
        <w:autoSpaceDE w:val="0"/>
        <w:autoSpaceDN w:val="0"/>
        <w:adjustRightInd w:val="0"/>
        <w:rPr>
          <w:rFonts w:cs="TTABA9o00"/>
          <w:szCs w:val="24"/>
        </w:rPr>
      </w:pPr>
      <w:r w:rsidRPr="00674DB0">
        <w:t xml:space="preserve">The </w:t>
      </w:r>
      <w:r w:rsidRPr="00674DB0">
        <w:rPr>
          <w:b/>
        </w:rPr>
        <w:t>household benefit cap</w:t>
      </w:r>
      <w:r w:rsidRPr="00674DB0">
        <w:t xml:space="preserve"> has cut the Housing Benefit of 89 families in </w:t>
      </w:r>
      <w:smartTag w:uri="urn:schemas-microsoft-com:office:smarttags" w:element="City">
        <w:r w:rsidRPr="00674DB0">
          <w:t>Newcastle</w:t>
        </w:r>
      </w:smartTag>
      <w:r w:rsidRPr="00674DB0">
        <w:t xml:space="preserve">. </w:t>
      </w:r>
      <w:r w:rsidRPr="00674DB0">
        <w:rPr>
          <w:rFonts w:cs="TTABA9o00"/>
          <w:szCs w:val="24"/>
        </w:rPr>
        <w:t xml:space="preserve">The average loss of income is £54 </w:t>
      </w:r>
      <w:r>
        <w:rPr>
          <w:rFonts w:cs="TTABA9o00"/>
          <w:szCs w:val="24"/>
        </w:rPr>
        <w:t>a</w:t>
      </w:r>
      <w:r w:rsidRPr="00674DB0">
        <w:rPr>
          <w:rFonts w:cs="TTABA9o00"/>
          <w:szCs w:val="24"/>
        </w:rPr>
        <w:t xml:space="preserve"> week with the highest loss being £145 </w:t>
      </w:r>
      <w:r>
        <w:rPr>
          <w:rFonts w:cs="TTABA9o00"/>
          <w:szCs w:val="24"/>
        </w:rPr>
        <w:t>a</w:t>
      </w:r>
      <w:r w:rsidRPr="00674DB0">
        <w:rPr>
          <w:rFonts w:cs="TTABA9o00"/>
          <w:szCs w:val="24"/>
        </w:rPr>
        <w:t xml:space="preserve"> week.</w:t>
      </w:r>
      <w:r w:rsidRPr="00674DB0">
        <w:t xml:space="preserve"> </w:t>
      </w:r>
    </w:p>
    <w:p w:rsidR="004604CA" w:rsidRDefault="004604CA" w:rsidP="00AE4EAB">
      <w:pPr>
        <w:pStyle w:val="Heading1"/>
      </w:pPr>
      <w:bookmarkStart w:id="10" w:name="_Toc367865300"/>
      <w:bookmarkStart w:id="11" w:name="_Toc367872686"/>
      <w:r w:rsidRPr="00491A99">
        <w:t>More details</w:t>
      </w:r>
      <w:r>
        <w:t xml:space="preserve"> and help</w:t>
      </w:r>
      <w:bookmarkEnd w:id="10"/>
      <w:bookmarkEnd w:id="11"/>
    </w:p>
    <w:p w:rsidR="004604CA" w:rsidRDefault="004604CA" w:rsidP="00AE4EAB">
      <w:r>
        <w:t xml:space="preserve">Can be found on </w:t>
      </w:r>
      <w:hyperlink r:id="rId21" w:history="1">
        <w:r w:rsidRPr="00033C18">
          <w:rPr>
            <w:rStyle w:val="Hyperlink"/>
          </w:rPr>
          <w:t>www.newcastle.gov.uk/welfarerights</w:t>
        </w:r>
      </w:hyperlink>
      <w:r>
        <w:t xml:space="preserve"> i</w:t>
      </w:r>
      <w:bookmarkStart w:id="12" w:name="_GoBack"/>
      <w:bookmarkEnd w:id="12"/>
      <w:r>
        <w:t xml:space="preserve">ncluding where to get advice in </w:t>
      </w:r>
      <w:smartTag w:uri="urn:schemas-microsoft-com:office:smarttags" w:element="City">
        <w:r>
          <w:t>Newcastle</w:t>
        </w:r>
      </w:smartTag>
      <w:r>
        <w:t xml:space="preserve"> and benefit toolkits.</w:t>
      </w:r>
    </w:p>
    <w:p w:rsidR="004604CA" w:rsidRDefault="004604CA" w:rsidP="00AE4EAB"/>
    <w:p w:rsidR="004604CA" w:rsidRPr="00674DB0" w:rsidRDefault="004604CA" w:rsidP="00B11EA3">
      <w:pPr>
        <w:autoSpaceDE w:val="0"/>
        <w:autoSpaceDN w:val="0"/>
        <w:adjustRightInd w:val="0"/>
      </w:pPr>
      <w:r>
        <w:rPr>
          <w:rFonts w:cs="TTABA9o00"/>
          <w:szCs w:val="24"/>
        </w:rPr>
        <w:t>For information on the impact of welfare reform an</w:t>
      </w:r>
      <w:r w:rsidRPr="00674DB0">
        <w:rPr>
          <w:rFonts w:cs="TTABA9o00"/>
          <w:szCs w:val="24"/>
        </w:rPr>
        <w:t xml:space="preserve">d what Newcastle City Council and partners are doing to try to mitigate </w:t>
      </w:r>
      <w:r>
        <w:rPr>
          <w:rFonts w:cs="TTABA9o00"/>
          <w:szCs w:val="24"/>
        </w:rPr>
        <w:t xml:space="preserve">it can be found in the recent </w:t>
      </w:r>
      <w:r w:rsidRPr="00674DB0">
        <w:rPr>
          <w:rFonts w:cs="TTABA9o00"/>
          <w:b/>
          <w:szCs w:val="24"/>
        </w:rPr>
        <w:t>Business Cabinet report</w:t>
      </w:r>
      <w:r w:rsidRPr="00674DB0">
        <w:rPr>
          <w:rFonts w:cs="TTABA9o00"/>
          <w:szCs w:val="24"/>
        </w:rPr>
        <w:t xml:space="preserve"> which can be found at:</w:t>
      </w:r>
    </w:p>
    <w:p w:rsidR="004604CA" w:rsidRPr="00674DB0" w:rsidRDefault="004604CA" w:rsidP="00B11EA3">
      <w:hyperlink r:id="rId22" w:history="1">
        <w:r w:rsidRPr="00674DB0">
          <w:rPr>
            <w:rStyle w:val="Hyperlink"/>
          </w:rPr>
          <w:t>www.newcastle.gov.uk/your-council/councillors/meetings-agendas-and-minutes</w:t>
        </w:r>
      </w:hyperlink>
      <w:r w:rsidRPr="00674DB0">
        <w:t xml:space="preserve"> </w:t>
      </w:r>
    </w:p>
    <w:p w:rsidR="004604CA" w:rsidRDefault="004604CA" w:rsidP="00B11EA3">
      <w:r w:rsidRPr="00674DB0">
        <w:t>Look for:  2013/cabinet/18September</w:t>
      </w:r>
    </w:p>
    <w:p w:rsidR="004604CA" w:rsidRDefault="004604CA" w:rsidP="00AE4EAB">
      <w:pPr>
        <w:pStyle w:val="Heading1"/>
      </w:pPr>
      <w:bookmarkStart w:id="13" w:name="_Toc367865301"/>
      <w:bookmarkStart w:id="14" w:name="_Toc367872687"/>
      <w:r>
        <w:t xml:space="preserve">Active Inclusion </w:t>
      </w:r>
      <w:smartTag w:uri="urn:schemas-microsoft-com:office:smarttags" w:element="City">
        <w:r>
          <w:t>Newcastle</w:t>
        </w:r>
      </w:smartTag>
      <w:bookmarkEnd w:id="13"/>
      <w:bookmarkEnd w:id="14"/>
    </w:p>
    <w:p w:rsidR="004604CA" w:rsidRDefault="004604CA" w:rsidP="00AE4EAB"/>
    <w:p w:rsidR="004604CA" w:rsidRDefault="004604CA" w:rsidP="00AE4EAB">
      <w:r>
        <w:t xml:space="preserve">This benefit bulletin has been produced by Newcastle City Council’s Active Inclusion Unit, which is part of Active Inclusion Newcastle (AIN). </w:t>
      </w:r>
    </w:p>
    <w:p w:rsidR="004604CA" w:rsidRDefault="004604CA" w:rsidP="00AE4EAB"/>
    <w:p w:rsidR="004604CA" w:rsidRDefault="004604CA" w:rsidP="00AE4EAB">
      <w:pPr>
        <w:autoSpaceDE w:val="0"/>
        <w:autoSpaceDN w:val="0"/>
        <w:adjustRightInd w:val="0"/>
        <w:rPr>
          <w:rFonts w:cs="Arial"/>
        </w:rPr>
      </w:pPr>
      <w:r w:rsidRPr="00724785">
        <w:rPr>
          <w:rFonts w:cs="Arial"/>
        </w:rPr>
        <w:t xml:space="preserve">AIN is a delivery model that </w:t>
      </w:r>
      <w:r>
        <w:rPr>
          <w:rFonts w:cs="Arial"/>
        </w:rPr>
        <w:t xml:space="preserve">coordinates services that </w:t>
      </w:r>
      <w:r w:rsidRPr="00724785">
        <w:rPr>
          <w:rFonts w:cs="Arial"/>
        </w:rPr>
        <w:t>provide the foundation</w:t>
      </w:r>
      <w:r>
        <w:rPr>
          <w:rFonts w:cs="Arial"/>
        </w:rPr>
        <w:t xml:space="preserve">s for stability </w:t>
      </w:r>
      <w:r w:rsidRPr="00724785">
        <w:rPr>
          <w:rFonts w:cs="Arial"/>
        </w:rPr>
        <w:t>by providing consistent information, advice and support that help people to secure:</w:t>
      </w:r>
    </w:p>
    <w:tbl>
      <w:tblPr>
        <w:tblW w:w="0" w:type="auto"/>
        <w:tblLook w:val="01E0"/>
      </w:tblPr>
      <w:tblGrid>
        <w:gridCol w:w="4621"/>
        <w:gridCol w:w="4621"/>
      </w:tblGrid>
      <w:tr w:rsidR="004604CA" w:rsidTr="009B352E">
        <w:tc>
          <w:tcPr>
            <w:tcW w:w="4621" w:type="dxa"/>
          </w:tcPr>
          <w:p w:rsidR="004604CA" w:rsidRPr="00724785" w:rsidRDefault="004604CA" w:rsidP="009B352E">
            <w:pPr>
              <w:numPr>
                <w:ilvl w:val="0"/>
                <w:numId w:val="22"/>
              </w:numPr>
            </w:pPr>
            <w:r w:rsidRPr="00724785">
              <w:t>an income</w:t>
            </w:r>
          </w:p>
          <w:p w:rsidR="004604CA" w:rsidRPr="00F21787" w:rsidRDefault="004604CA" w:rsidP="009B352E">
            <w:pPr>
              <w:numPr>
                <w:ilvl w:val="0"/>
                <w:numId w:val="22"/>
              </w:numPr>
            </w:pPr>
            <w:r w:rsidRPr="00724785">
              <w:t>somewhere to live</w:t>
            </w:r>
          </w:p>
        </w:tc>
        <w:tc>
          <w:tcPr>
            <w:tcW w:w="4621" w:type="dxa"/>
          </w:tcPr>
          <w:p w:rsidR="004604CA" w:rsidRPr="00765F6C" w:rsidRDefault="004604CA" w:rsidP="009B352E">
            <w:pPr>
              <w:numPr>
                <w:ilvl w:val="0"/>
                <w:numId w:val="22"/>
              </w:numPr>
            </w:pPr>
            <w:r w:rsidRPr="00724785">
              <w:t>freedom from excessive debt</w:t>
            </w:r>
          </w:p>
          <w:p w:rsidR="004604CA" w:rsidRPr="00F21787" w:rsidRDefault="004604CA" w:rsidP="009B352E">
            <w:pPr>
              <w:numPr>
                <w:ilvl w:val="0"/>
                <w:numId w:val="22"/>
              </w:numPr>
            </w:pPr>
            <w:r w:rsidRPr="00724785">
              <w:t>employment opportunities</w:t>
            </w:r>
          </w:p>
        </w:tc>
      </w:tr>
    </w:tbl>
    <w:p w:rsidR="004604CA" w:rsidRDefault="004604CA" w:rsidP="00AE4EAB">
      <w:pPr>
        <w:autoSpaceDE w:val="0"/>
        <w:autoSpaceDN w:val="0"/>
        <w:adjustRightInd w:val="0"/>
        <w:rPr>
          <w:rFonts w:cs="Arial"/>
        </w:rPr>
      </w:pPr>
    </w:p>
    <w:p w:rsidR="004604CA" w:rsidRDefault="004604CA" w:rsidP="00AE4EAB">
      <w:pPr>
        <w:autoSpaceDE w:val="0"/>
        <w:autoSpaceDN w:val="0"/>
        <w:adjustRightInd w:val="0"/>
        <w:rPr>
          <w:rFonts w:cs="Arial"/>
        </w:rPr>
      </w:pPr>
      <w:r w:rsidRPr="00724785">
        <w:rPr>
          <w:rFonts w:cs="Arial"/>
        </w:rPr>
        <w:t xml:space="preserve">This is based on the Council and its partners </w:t>
      </w:r>
      <w:r>
        <w:rPr>
          <w:rFonts w:cs="Arial"/>
        </w:rPr>
        <w:t xml:space="preserve">working cooperatively to </w:t>
      </w:r>
      <w:r w:rsidRPr="00724785">
        <w:rPr>
          <w:rFonts w:cs="Arial"/>
        </w:rPr>
        <w:t>provid</w:t>
      </w:r>
      <w:r>
        <w:rPr>
          <w:rFonts w:cs="Arial"/>
        </w:rPr>
        <w:t>e</w:t>
      </w:r>
      <w:r w:rsidRPr="00724785">
        <w:rPr>
          <w:rFonts w:cs="Arial"/>
        </w:rPr>
        <w:t xml:space="preserve"> proportionate help to residents to sustain their independence through prevention services, emergency responses and targeted support to avoid repeat crisis. This means wherever possible proactively supporting people at life changing moments, rather than waiting for them to contact us in crisis.  At the core of this are the following services and ways of working:</w:t>
      </w:r>
    </w:p>
    <w:p w:rsidR="004604CA" w:rsidRDefault="004604CA" w:rsidP="00AE4EAB">
      <w:pPr>
        <w:autoSpaceDE w:val="0"/>
        <w:autoSpaceDN w:val="0"/>
        <w:adjustRightInd w:val="0"/>
        <w:rPr>
          <w:rFonts w:cs="Arial"/>
        </w:rPr>
      </w:pPr>
    </w:p>
    <w:tbl>
      <w:tblPr>
        <w:tblW w:w="0" w:type="auto"/>
        <w:tblLook w:val="01E0"/>
      </w:tblPr>
      <w:tblGrid>
        <w:gridCol w:w="4621"/>
        <w:gridCol w:w="4621"/>
      </w:tblGrid>
      <w:tr w:rsidR="004604CA" w:rsidTr="009B352E">
        <w:tc>
          <w:tcPr>
            <w:tcW w:w="4621" w:type="dxa"/>
          </w:tcPr>
          <w:p w:rsidR="004604CA" w:rsidRDefault="004604CA" w:rsidP="009B352E">
            <w:pPr>
              <w:numPr>
                <w:ilvl w:val="0"/>
                <w:numId w:val="24"/>
              </w:numPr>
            </w:pPr>
            <w:r w:rsidRPr="00AE4EAB">
              <w:t xml:space="preserve">Financial inclusion </w:t>
            </w:r>
          </w:p>
          <w:p w:rsidR="004604CA" w:rsidRPr="00AE4EAB" w:rsidRDefault="004604CA" w:rsidP="009B352E">
            <w:pPr>
              <w:numPr>
                <w:ilvl w:val="0"/>
                <w:numId w:val="24"/>
              </w:numPr>
            </w:pPr>
            <w:r w:rsidRPr="00AE4EAB">
              <w:t>Crisis Support Scheme</w:t>
            </w:r>
          </w:p>
          <w:p w:rsidR="004604CA" w:rsidRPr="00AE4EAB" w:rsidRDefault="004604CA" w:rsidP="009B352E">
            <w:pPr>
              <w:numPr>
                <w:ilvl w:val="0"/>
                <w:numId w:val="24"/>
              </w:numPr>
            </w:pPr>
            <w:r w:rsidRPr="00AE4EAB">
              <w:t>Supporting Independence Scheme</w:t>
            </w:r>
          </w:p>
          <w:p w:rsidR="004604CA" w:rsidRPr="00AE4EAB" w:rsidRDefault="004604CA" w:rsidP="009B352E">
            <w:pPr>
              <w:numPr>
                <w:ilvl w:val="0"/>
                <w:numId w:val="24"/>
              </w:numPr>
            </w:pPr>
            <w:r w:rsidRPr="00AE4EAB">
              <w:t>Specialist advice</w:t>
            </w:r>
          </w:p>
          <w:p w:rsidR="004604CA" w:rsidRPr="00AE4EAB" w:rsidRDefault="004604CA" w:rsidP="009B352E">
            <w:pPr>
              <w:numPr>
                <w:ilvl w:val="1"/>
                <w:numId w:val="24"/>
              </w:numPr>
            </w:pPr>
            <w:r w:rsidRPr="00AE4EAB">
              <w:t>housing</w:t>
            </w:r>
          </w:p>
          <w:p w:rsidR="004604CA" w:rsidRPr="00AE4EAB" w:rsidRDefault="004604CA" w:rsidP="009B352E">
            <w:pPr>
              <w:numPr>
                <w:ilvl w:val="1"/>
                <w:numId w:val="24"/>
              </w:numPr>
            </w:pPr>
            <w:r w:rsidRPr="00AE4EAB">
              <w:t>debt</w:t>
            </w:r>
          </w:p>
          <w:p w:rsidR="004604CA" w:rsidRPr="00AE4EAB" w:rsidRDefault="004604CA" w:rsidP="009B352E">
            <w:pPr>
              <w:numPr>
                <w:ilvl w:val="1"/>
                <w:numId w:val="24"/>
              </w:numPr>
            </w:pPr>
            <w:r w:rsidRPr="00AE4EAB">
              <w:t>welfare rights</w:t>
            </w:r>
          </w:p>
          <w:p w:rsidR="004604CA" w:rsidRPr="00B11EA3" w:rsidRDefault="004604CA" w:rsidP="009B352E">
            <w:pPr>
              <w:numPr>
                <w:ilvl w:val="1"/>
                <w:numId w:val="24"/>
              </w:numPr>
            </w:pPr>
            <w:r w:rsidRPr="00AE4EAB">
              <w:t xml:space="preserve">employment </w:t>
            </w:r>
          </w:p>
        </w:tc>
        <w:tc>
          <w:tcPr>
            <w:tcW w:w="4621" w:type="dxa"/>
          </w:tcPr>
          <w:p w:rsidR="004604CA" w:rsidRPr="00AE4EAB" w:rsidRDefault="004604CA" w:rsidP="009B352E">
            <w:pPr>
              <w:numPr>
                <w:ilvl w:val="0"/>
                <w:numId w:val="23"/>
              </w:numPr>
            </w:pPr>
            <w:r w:rsidRPr="00AE4EAB">
              <w:t>Statutory emergency accommodation</w:t>
            </w:r>
          </w:p>
          <w:p w:rsidR="004604CA" w:rsidRPr="00AE4EAB" w:rsidRDefault="004604CA" w:rsidP="009B352E">
            <w:pPr>
              <w:numPr>
                <w:ilvl w:val="0"/>
                <w:numId w:val="23"/>
              </w:numPr>
            </w:pPr>
            <w:r w:rsidRPr="00AE4EAB">
              <w:t xml:space="preserve">Pathways and transitions </w:t>
            </w:r>
          </w:p>
          <w:p w:rsidR="004604CA" w:rsidRPr="00AE4EAB" w:rsidRDefault="004604CA" w:rsidP="009B352E">
            <w:pPr>
              <w:numPr>
                <w:ilvl w:val="0"/>
                <w:numId w:val="23"/>
              </w:numPr>
            </w:pPr>
            <w:r w:rsidRPr="00AE4EAB">
              <w:t xml:space="preserve">Multiple exclusion </w:t>
            </w:r>
          </w:p>
          <w:p w:rsidR="004604CA" w:rsidRPr="00AE4EAB" w:rsidRDefault="004604CA" w:rsidP="009B352E">
            <w:pPr>
              <w:numPr>
                <w:ilvl w:val="0"/>
                <w:numId w:val="23"/>
              </w:numPr>
            </w:pPr>
            <w:r w:rsidRPr="00AE4EAB">
              <w:t xml:space="preserve">Floating support </w:t>
            </w:r>
          </w:p>
          <w:p w:rsidR="004604CA" w:rsidRPr="00AE4EAB" w:rsidRDefault="004604CA" w:rsidP="009B352E">
            <w:pPr>
              <w:numPr>
                <w:ilvl w:val="0"/>
                <w:numId w:val="23"/>
              </w:numPr>
            </w:pPr>
            <w:r w:rsidRPr="00AE4EAB">
              <w:t xml:space="preserve">Supported accommodation </w:t>
            </w:r>
          </w:p>
          <w:p w:rsidR="004604CA" w:rsidRDefault="004604CA" w:rsidP="009B352E">
            <w:pPr>
              <w:numPr>
                <w:ilvl w:val="0"/>
                <w:numId w:val="23"/>
              </w:numPr>
            </w:pPr>
            <w:r w:rsidRPr="00AE4EAB">
              <w:t xml:space="preserve">Debt collection </w:t>
            </w:r>
          </w:p>
          <w:p w:rsidR="004604CA" w:rsidRPr="00AE4EAB" w:rsidRDefault="004604CA" w:rsidP="009B352E">
            <w:pPr>
              <w:numPr>
                <w:ilvl w:val="0"/>
                <w:numId w:val="23"/>
              </w:numPr>
            </w:pPr>
            <w:r>
              <w:t>Migration and asylum seeker support</w:t>
            </w:r>
          </w:p>
          <w:p w:rsidR="004604CA" w:rsidRPr="009B352E" w:rsidRDefault="004604CA" w:rsidP="009B352E">
            <w:pPr>
              <w:autoSpaceDE w:val="0"/>
              <w:autoSpaceDN w:val="0"/>
              <w:adjustRightInd w:val="0"/>
              <w:rPr>
                <w:rFonts w:cs="Arial"/>
              </w:rPr>
            </w:pPr>
          </w:p>
        </w:tc>
      </w:tr>
    </w:tbl>
    <w:p w:rsidR="004604CA" w:rsidRDefault="004604CA" w:rsidP="00AE4EAB"/>
    <w:p w:rsidR="004604CA" w:rsidRDefault="004604CA" w:rsidP="00AE4EAB">
      <w:r>
        <w:t xml:space="preserve">For more details about the AIU phone 0191 277 1707 or email </w:t>
      </w:r>
      <w:hyperlink r:id="rId23" w:history="1">
        <w:r w:rsidRPr="00A76C30">
          <w:rPr>
            <w:rStyle w:val="Hyperlink"/>
          </w:rPr>
          <w:t>activeinclusion@newcastle.gov.uk</w:t>
        </w:r>
      </w:hyperlink>
      <w:r>
        <w:t xml:space="preserve"> </w:t>
      </w:r>
    </w:p>
    <w:sectPr w:rsidR="004604CA" w:rsidSect="00CE50A8">
      <w:footerReference w:type="even" r:id="rId24"/>
      <w:footerReference w:type="default" r:id="rId25"/>
      <w:type w:val="continuous"/>
      <w:pgSz w:w="11906" w:h="16838"/>
      <w:pgMar w:top="1440" w:right="1440" w:bottom="1440" w:left="1440" w:header="708" w:footer="4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4CA" w:rsidRDefault="004604CA" w:rsidP="00307645">
      <w:r>
        <w:separator/>
      </w:r>
    </w:p>
  </w:endnote>
  <w:endnote w:type="continuationSeparator" w:id="0">
    <w:p w:rsidR="004604CA" w:rsidRDefault="004604CA" w:rsidP="0030764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TABA9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CA" w:rsidRDefault="004604CA" w:rsidP="00CE5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04CA" w:rsidRDefault="004604CA" w:rsidP="00CE50A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CA" w:rsidRDefault="004604CA" w:rsidP="00A76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04CA" w:rsidRDefault="004604CA" w:rsidP="00CE50A8">
    <w:pPr>
      <w:pStyle w:val="Footer"/>
      <w:framePr w:wrap="around" w:vAnchor="text" w:hAnchor="margin" w:y="1"/>
      <w:ind w:right="360"/>
      <w:rPr>
        <w:rStyle w:val="PageNumber"/>
      </w:rPr>
    </w:pPr>
  </w:p>
  <w:p w:rsidR="004604CA" w:rsidRDefault="004604CA" w:rsidP="004C7853">
    <w:pPr>
      <w:pStyle w:val="Footer"/>
      <w:ind w:firstLine="360"/>
      <w:jc w:val="right"/>
    </w:pPr>
  </w:p>
  <w:p w:rsidR="004604CA" w:rsidRDefault="00460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4CA" w:rsidRDefault="004604CA" w:rsidP="00307645">
      <w:r>
        <w:separator/>
      </w:r>
    </w:p>
  </w:footnote>
  <w:footnote w:type="continuationSeparator" w:id="0">
    <w:p w:rsidR="004604CA" w:rsidRDefault="004604CA" w:rsidP="00307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B6F4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C6A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18E3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F210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001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F8C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ACE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7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DE75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C03034"/>
    <w:lvl w:ilvl="0">
      <w:start w:val="1"/>
      <w:numFmt w:val="bullet"/>
      <w:lvlText w:val=""/>
      <w:lvlJc w:val="left"/>
      <w:pPr>
        <w:tabs>
          <w:tab w:val="num" w:pos="360"/>
        </w:tabs>
        <w:ind w:left="360" w:hanging="360"/>
      </w:pPr>
      <w:rPr>
        <w:rFonts w:ascii="Symbol" w:hAnsi="Symbol" w:hint="default"/>
      </w:rPr>
    </w:lvl>
  </w:abstractNum>
  <w:abstractNum w:abstractNumId="10">
    <w:nsid w:val="00795B54"/>
    <w:multiLevelType w:val="multilevel"/>
    <w:tmpl w:val="CA4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9529EA"/>
    <w:multiLevelType w:val="hybridMultilevel"/>
    <w:tmpl w:val="3B988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68F4999"/>
    <w:multiLevelType w:val="hybridMultilevel"/>
    <w:tmpl w:val="5842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C37C71"/>
    <w:multiLevelType w:val="hybridMultilevel"/>
    <w:tmpl w:val="D744F8E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327313F7"/>
    <w:multiLevelType w:val="hybridMultilevel"/>
    <w:tmpl w:val="3140E636"/>
    <w:lvl w:ilvl="0" w:tplc="063CA34A">
      <w:start w:val="1"/>
      <w:numFmt w:val="bullet"/>
      <w:lvlText w:val=""/>
      <w:lvlJc w:val="left"/>
      <w:pPr>
        <w:tabs>
          <w:tab w:val="num" w:pos="233"/>
        </w:tabs>
        <w:ind w:left="39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EA5EF7"/>
    <w:multiLevelType w:val="hybridMultilevel"/>
    <w:tmpl w:val="D744F8E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B794594"/>
    <w:multiLevelType w:val="hybridMultilevel"/>
    <w:tmpl w:val="12DE0CD2"/>
    <w:lvl w:ilvl="0" w:tplc="063CA34A">
      <w:start w:val="1"/>
      <w:numFmt w:val="bullet"/>
      <w:lvlText w:val=""/>
      <w:lvlJc w:val="left"/>
      <w:pPr>
        <w:tabs>
          <w:tab w:val="num" w:pos="6"/>
        </w:tabs>
        <w:ind w:left="170" w:hanging="170"/>
      </w:pPr>
      <w:rPr>
        <w:rFonts w:ascii="Symbol" w:hAnsi="Symbol" w:hint="default"/>
      </w:rPr>
    </w:lvl>
    <w:lvl w:ilvl="1" w:tplc="04090003">
      <w:start w:val="1"/>
      <w:numFmt w:val="bullet"/>
      <w:lvlText w:val="o"/>
      <w:lvlJc w:val="left"/>
      <w:pPr>
        <w:tabs>
          <w:tab w:val="num" w:pos="1213"/>
        </w:tabs>
        <w:ind w:left="1213" w:hanging="360"/>
      </w:pPr>
      <w:rPr>
        <w:rFonts w:ascii="Courier New" w:hAnsi="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17">
    <w:nsid w:val="45743250"/>
    <w:multiLevelType w:val="hybridMultilevel"/>
    <w:tmpl w:val="A49686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95B64EF"/>
    <w:multiLevelType w:val="hybridMultilevel"/>
    <w:tmpl w:val="E5B4A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0504AA0"/>
    <w:multiLevelType w:val="hybridMultilevel"/>
    <w:tmpl w:val="48648424"/>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nsid w:val="54D95D96"/>
    <w:multiLevelType w:val="hybridMultilevel"/>
    <w:tmpl w:val="F9167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6F846950"/>
    <w:multiLevelType w:val="hybridMultilevel"/>
    <w:tmpl w:val="C48EF4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249335A"/>
    <w:multiLevelType w:val="hybridMultilevel"/>
    <w:tmpl w:val="70D6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9801D5"/>
    <w:multiLevelType w:val="hybridMultilevel"/>
    <w:tmpl w:val="D83613FC"/>
    <w:lvl w:ilvl="0" w:tplc="009CC3E0">
      <w:start w:val="1"/>
      <w:numFmt w:val="bullet"/>
      <w:lvlText w:val="•"/>
      <w:lvlJc w:val="left"/>
      <w:pPr>
        <w:tabs>
          <w:tab w:val="num" w:pos="417"/>
        </w:tabs>
        <w:ind w:left="417" w:hanging="360"/>
      </w:pPr>
      <w:rPr>
        <w:rFonts w:ascii="Times New Roman" w:hAnsi="Times New Roman" w:hint="default"/>
      </w:rPr>
    </w:lvl>
    <w:lvl w:ilvl="1" w:tplc="DBF49D62">
      <w:start w:val="164"/>
      <w:numFmt w:val="bullet"/>
      <w:lvlText w:val="•"/>
      <w:lvlJc w:val="left"/>
      <w:pPr>
        <w:tabs>
          <w:tab w:val="num" w:pos="1137"/>
        </w:tabs>
        <w:ind w:left="1137" w:hanging="360"/>
      </w:pPr>
      <w:rPr>
        <w:rFonts w:ascii="Times New Roman" w:hAnsi="Times New Roman" w:hint="default"/>
      </w:rPr>
    </w:lvl>
    <w:lvl w:ilvl="2" w:tplc="4AC84D5C">
      <w:start w:val="164"/>
      <w:numFmt w:val="bullet"/>
      <w:lvlText w:val="•"/>
      <w:lvlJc w:val="left"/>
      <w:pPr>
        <w:tabs>
          <w:tab w:val="num" w:pos="1857"/>
        </w:tabs>
        <w:ind w:left="1857" w:hanging="360"/>
      </w:pPr>
      <w:rPr>
        <w:rFonts w:ascii="Times New Roman" w:hAnsi="Times New Roman" w:hint="default"/>
      </w:rPr>
    </w:lvl>
    <w:lvl w:ilvl="3" w:tplc="522E3EFA" w:tentative="1">
      <w:start w:val="1"/>
      <w:numFmt w:val="bullet"/>
      <w:lvlText w:val="•"/>
      <w:lvlJc w:val="left"/>
      <w:pPr>
        <w:tabs>
          <w:tab w:val="num" w:pos="2577"/>
        </w:tabs>
        <w:ind w:left="2577" w:hanging="360"/>
      </w:pPr>
      <w:rPr>
        <w:rFonts w:ascii="Times New Roman" w:hAnsi="Times New Roman" w:hint="default"/>
      </w:rPr>
    </w:lvl>
    <w:lvl w:ilvl="4" w:tplc="4AE00860" w:tentative="1">
      <w:start w:val="1"/>
      <w:numFmt w:val="bullet"/>
      <w:lvlText w:val="•"/>
      <w:lvlJc w:val="left"/>
      <w:pPr>
        <w:tabs>
          <w:tab w:val="num" w:pos="3297"/>
        </w:tabs>
        <w:ind w:left="3297" w:hanging="360"/>
      </w:pPr>
      <w:rPr>
        <w:rFonts w:ascii="Times New Roman" w:hAnsi="Times New Roman" w:hint="default"/>
      </w:rPr>
    </w:lvl>
    <w:lvl w:ilvl="5" w:tplc="AD30B99A" w:tentative="1">
      <w:start w:val="1"/>
      <w:numFmt w:val="bullet"/>
      <w:lvlText w:val="•"/>
      <w:lvlJc w:val="left"/>
      <w:pPr>
        <w:tabs>
          <w:tab w:val="num" w:pos="4017"/>
        </w:tabs>
        <w:ind w:left="4017" w:hanging="360"/>
      </w:pPr>
      <w:rPr>
        <w:rFonts w:ascii="Times New Roman" w:hAnsi="Times New Roman" w:hint="default"/>
      </w:rPr>
    </w:lvl>
    <w:lvl w:ilvl="6" w:tplc="DD8C0702" w:tentative="1">
      <w:start w:val="1"/>
      <w:numFmt w:val="bullet"/>
      <w:lvlText w:val="•"/>
      <w:lvlJc w:val="left"/>
      <w:pPr>
        <w:tabs>
          <w:tab w:val="num" w:pos="4737"/>
        </w:tabs>
        <w:ind w:left="4737" w:hanging="360"/>
      </w:pPr>
      <w:rPr>
        <w:rFonts w:ascii="Times New Roman" w:hAnsi="Times New Roman" w:hint="default"/>
      </w:rPr>
    </w:lvl>
    <w:lvl w:ilvl="7" w:tplc="24E27C9C" w:tentative="1">
      <w:start w:val="1"/>
      <w:numFmt w:val="bullet"/>
      <w:lvlText w:val="•"/>
      <w:lvlJc w:val="left"/>
      <w:pPr>
        <w:tabs>
          <w:tab w:val="num" w:pos="5457"/>
        </w:tabs>
        <w:ind w:left="5457" w:hanging="360"/>
      </w:pPr>
      <w:rPr>
        <w:rFonts w:ascii="Times New Roman" w:hAnsi="Times New Roman" w:hint="default"/>
      </w:rPr>
    </w:lvl>
    <w:lvl w:ilvl="8" w:tplc="06A65E50" w:tentative="1">
      <w:start w:val="1"/>
      <w:numFmt w:val="bullet"/>
      <w:lvlText w:val="•"/>
      <w:lvlJc w:val="left"/>
      <w:pPr>
        <w:tabs>
          <w:tab w:val="num" w:pos="6177"/>
        </w:tabs>
        <w:ind w:left="6177" w:hanging="360"/>
      </w:pPr>
      <w:rPr>
        <w:rFonts w:ascii="Times New Roman" w:hAnsi="Times New Roman" w:hint="default"/>
      </w:rPr>
    </w:lvl>
  </w:abstractNum>
  <w:num w:numId="1">
    <w:abstractNumId w:val="23"/>
  </w:num>
  <w:num w:numId="2">
    <w:abstractNumId w:val="10"/>
  </w:num>
  <w:num w:numId="3">
    <w:abstractNumId w:val="15"/>
  </w:num>
  <w:num w:numId="4">
    <w:abstractNumId w:val="13"/>
  </w:num>
  <w:num w:numId="5">
    <w:abstractNumId w:val="22"/>
  </w:num>
  <w:num w:numId="6">
    <w:abstractNumId w:val="18"/>
  </w:num>
  <w:num w:numId="7">
    <w:abstractNumId w:val="19"/>
  </w:num>
  <w:num w:numId="8">
    <w:abstractNumId w:val="11"/>
  </w:num>
  <w:num w:numId="9">
    <w:abstractNumId w:val="12"/>
  </w:num>
  <w:num w:numId="10">
    <w:abstractNumId w:val="14"/>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88E"/>
    <w:rsid w:val="0003060B"/>
    <w:rsid w:val="00033C18"/>
    <w:rsid w:val="000C7F50"/>
    <w:rsid w:val="001069F4"/>
    <w:rsid w:val="001A2456"/>
    <w:rsid w:val="001B513B"/>
    <w:rsid w:val="001E7A08"/>
    <w:rsid w:val="0021033C"/>
    <w:rsid w:val="00213DDE"/>
    <w:rsid w:val="00220A1F"/>
    <w:rsid w:val="002A4D5E"/>
    <w:rsid w:val="00307645"/>
    <w:rsid w:val="0031268E"/>
    <w:rsid w:val="003B3D8E"/>
    <w:rsid w:val="003B5D02"/>
    <w:rsid w:val="003C21AB"/>
    <w:rsid w:val="003C5CDA"/>
    <w:rsid w:val="003D1517"/>
    <w:rsid w:val="003D7EAD"/>
    <w:rsid w:val="00414CAC"/>
    <w:rsid w:val="00427F54"/>
    <w:rsid w:val="004604CA"/>
    <w:rsid w:val="00462CE7"/>
    <w:rsid w:val="00491A99"/>
    <w:rsid w:val="004C7853"/>
    <w:rsid w:val="0051180F"/>
    <w:rsid w:val="00551BD5"/>
    <w:rsid w:val="005A40D2"/>
    <w:rsid w:val="005A66BB"/>
    <w:rsid w:val="005C5DDE"/>
    <w:rsid w:val="00655869"/>
    <w:rsid w:val="00674DB0"/>
    <w:rsid w:val="0067723E"/>
    <w:rsid w:val="006C63C8"/>
    <w:rsid w:val="006E4F85"/>
    <w:rsid w:val="006F12C4"/>
    <w:rsid w:val="006F4967"/>
    <w:rsid w:val="00714AB1"/>
    <w:rsid w:val="00724785"/>
    <w:rsid w:val="007345B6"/>
    <w:rsid w:val="00755673"/>
    <w:rsid w:val="00762459"/>
    <w:rsid w:val="00765F6C"/>
    <w:rsid w:val="00783E88"/>
    <w:rsid w:val="007E429E"/>
    <w:rsid w:val="007F3527"/>
    <w:rsid w:val="00884477"/>
    <w:rsid w:val="008867FA"/>
    <w:rsid w:val="008A5FF1"/>
    <w:rsid w:val="008A7274"/>
    <w:rsid w:val="0094765A"/>
    <w:rsid w:val="009B352E"/>
    <w:rsid w:val="00A11F90"/>
    <w:rsid w:val="00A6018A"/>
    <w:rsid w:val="00A76C30"/>
    <w:rsid w:val="00AA24BE"/>
    <w:rsid w:val="00AB54DC"/>
    <w:rsid w:val="00AE02DC"/>
    <w:rsid w:val="00AE4EAB"/>
    <w:rsid w:val="00B021F6"/>
    <w:rsid w:val="00B11EA3"/>
    <w:rsid w:val="00B46E2E"/>
    <w:rsid w:val="00B728C8"/>
    <w:rsid w:val="00B74A74"/>
    <w:rsid w:val="00BB052D"/>
    <w:rsid w:val="00BB6084"/>
    <w:rsid w:val="00BD418D"/>
    <w:rsid w:val="00C120EA"/>
    <w:rsid w:val="00C3127E"/>
    <w:rsid w:val="00C37E0E"/>
    <w:rsid w:val="00C37E9A"/>
    <w:rsid w:val="00C52EBC"/>
    <w:rsid w:val="00C70437"/>
    <w:rsid w:val="00C81E2B"/>
    <w:rsid w:val="00C977BF"/>
    <w:rsid w:val="00CC2B2A"/>
    <w:rsid w:val="00CE50A8"/>
    <w:rsid w:val="00CF0033"/>
    <w:rsid w:val="00D34A13"/>
    <w:rsid w:val="00D34F89"/>
    <w:rsid w:val="00D65E24"/>
    <w:rsid w:val="00D66B56"/>
    <w:rsid w:val="00DA060D"/>
    <w:rsid w:val="00DD488E"/>
    <w:rsid w:val="00E0059E"/>
    <w:rsid w:val="00E00E20"/>
    <w:rsid w:val="00E0114C"/>
    <w:rsid w:val="00E852E3"/>
    <w:rsid w:val="00EA23A6"/>
    <w:rsid w:val="00EC2D27"/>
    <w:rsid w:val="00F07C43"/>
    <w:rsid w:val="00F21787"/>
    <w:rsid w:val="00F25493"/>
    <w:rsid w:val="00F67655"/>
    <w:rsid w:val="00FE104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A24BE"/>
    <w:pPr>
      <w:keepNext/>
    </w:pPr>
    <w:rPr>
      <w:rFonts w:ascii="Arial" w:hAnsi="Arial"/>
      <w:sz w:val="24"/>
      <w:lang w:eastAsia="en-US"/>
    </w:rPr>
  </w:style>
  <w:style w:type="paragraph" w:styleId="Heading1">
    <w:name w:val="heading 1"/>
    <w:basedOn w:val="Normal"/>
    <w:next w:val="Normal"/>
    <w:link w:val="Heading1Char"/>
    <w:autoRedefine/>
    <w:uiPriority w:val="99"/>
    <w:qFormat/>
    <w:rsid w:val="00E0059E"/>
    <w:pPr>
      <w:keepLines/>
      <w:spacing w:before="480"/>
      <w:outlineLvl w:val="0"/>
    </w:pPr>
    <w:rPr>
      <w:rFonts w:eastAsia="Times New Roman"/>
      <w:b/>
      <w:bCs/>
      <w:color w:val="003366"/>
      <w:sz w:val="28"/>
      <w:szCs w:val="28"/>
    </w:rPr>
  </w:style>
  <w:style w:type="paragraph" w:styleId="Heading2">
    <w:name w:val="heading 2"/>
    <w:basedOn w:val="Normal"/>
    <w:next w:val="Normal"/>
    <w:link w:val="Heading2Char"/>
    <w:uiPriority w:val="99"/>
    <w:qFormat/>
    <w:rsid w:val="00C81E2B"/>
    <w:pPr>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C81E2B"/>
    <w:pPr>
      <w:keepLines/>
      <w:spacing w:before="200"/>
      <w:outlineLvl w:val="2"/>
    </w:pPr>
    <w:rPr>
      <w:rFonts w:eastAsia="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059E"/>
    <w:rPr>
      <w:rFonts w:ascii="Arial" w:hAnsi="Arial" w:cs="Times New Roman"/>
      <w:b/>
      <w:bCs/>
      <w:color w:val="003366"/>
      <w:sz w:val="28"/>
      <w:szCs w:val="28"/>
      <w:lang w:val="en-GB" w:eastAsia="en-US" w:bidi="ar-SA"/>
    </w:rPr>
  </w:style>
  <w:style w:type="character" w:customStyle="1" w:styleId="Heading2Char">
    <w:name w:val="Heading 2 Char"/>
    <w:basedOn w:val="DefaultParagraphFont"/>
    <w:link w:val="Heading2"/>
    <w:uiPriority w:val="99"/>
    <w:semiHidden/>
    <w:locked/>
    <w:rsid w:val="00C81E2B"/>
    <w:rPr>
      <w:rFonts w:ascii="Arial" w:hAnsi="Arial" w:cs="Times New Roman"/>
      <w:b/>
      <w:bCs/>
      <w:color w:val="4F81BD"/>
      <w:sz w:val="26"/>
      <w:szCs w:val="26"/>
    </w:rPr>
  </w:style>
  <w:style w:type="character" w:customStyle="1" w:styleId="Heading3Char">
    <w:name w:val="Heading 3 Char"/>
    <w:basedOn w:val="DefaultParagraphFont"/>
    <w:link w:val="Heading3"/>
    <w:uiPriority w:val="99"/>
    <w:semiHidden/>
    <w:locked/>
    <w:rsid w:val="00C81E2B"/>
    <w:rPr>
      <w:rFonts w:ascii="Arial" w:hAnsi="Arial" w:cs="Times New Roman"/>
      <w:b/>
      <w:bCs/>
      <w:color w:val="4F81BD"/>
      <w:sz w:val="24"/>
    </w:rPr>
  </w:style>
  <w:style w:type="paragraph" w:styleId="BalloonText">
    <w:name w:val="Balloon Text"/>
    <w:basedOn w:val="Normal"/>
    <w:link w:val="BalloonTextChar"/>
    <w:uiPriority w:val="99"/>
    <w:semiHidden/>
    <w:rsid w:val="003076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645"/>
    <w:rPr>
      <w:rFonts w:ascii="Tahoma" w:hAnsi="Tahoma" w:cs="Tahoma"/>
      <w:sz w:val="16"/>
      <w:szCs w:val="16"/>
    </w:rPr>
  </w:style>
  <w:style w:type="paragraph" w:styleId="ListParagraph">
    <w:name w:val="List Paragraph"/>
    <w:basedOn w:val="Normal"/>
    <w:uiPriority w:val="99"/>
    <w:qFormat/>
    <w:rsid w:val="00C120EA"/>
    <w:pPr>
      <w:ind w:left="720"/>
      <w:contextualSpacing/>
    </w:pPr>
  </w:style>
  <w:style w:type="character" w:styleId="Hyperlink">
    <w:name w:val="Hyperlink"/>
    <w:basedOn w:val="DefaultParagraphFont"/>
    <w:uiPriority w:val="99"/>
    <w:rsid w:val="00C120EA"/>
    <w:rPr>
      <w:rFonts w:cs="Times New Roman"/>
      <w:color w:val="0000FF"/>
      <w:u w:val="single"/>
    </w:rPr>
  </w:style>
  <w:style w:type="paragraph" w:styleId="TOCHeading">
    <w:name w:val="TOC Heading"/>
    <w:basedOn w:val="Heading1"/>
    <w:next w:val="Normal"/>
    <w:uiPriority w:val="99"/>
    <w:qFormat/>
    <w:rsid w:val="00307645"/>
    <w:pPr>
      <w:spacing w:line="276" w:lineRule="auto"/>
      <w:outlineLvl w:val="9"/>
    </w:pPr>
    <w:rPr>
      <w:lang w:val="en-US" w:eastAsia="ja-JP"/>
    </w:rPr>
  </w:style>
  <w:style w:type="paragraph" w:styleId="Title">
    <w:name w:val="Title"/>
    <w:basedOn w:val="Normal"/>
    <w:next w:val="Normal"/>
    <w:link w:val="TitleChar"/>
    <w:uiPriority w:val="99"/>
    <w:qFormat/>
    <w:rsid w:val="00C81E2B"/>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locked/>
    <w:rsid w:val="00C81E2B"/>
    <w:rPr>
      <w:rFonts w:ascii="Arial" w:hAnsi="Arial" w:cs="Times New Roman"/>
      <w:color w:val="17365D"/>
      <w:spacing w:val="5"/>
      <w:kern w:val="28"/>
      <w:sz w:val="52"/>
      <w:szCs w:val="52"/>
    </w:rPr>
  </w:style>
  <w:style w:type="paragraph" w:styleId="TOC1">
    <w:name w:val="toc 1"/>
    <w:basedOn w:val="Normal"/>
    <w:next w:val="Normal"/>
    <w:autoRedefine/>
    <w:uiPriority w:val="99"/>
    <w:rsid w:val="00307645"/>
    <w:pPr>
      <w:spacing w:after="100"/>
    </w:pPr>
  </w:style>
  <w:style w:type="paragraph" w:styleId="Header">
    <w:name w:val="header"/>
    <w:basedOn w:val="Normal"/>
    <w:link w:val="HeaderChar"/>
    <w:uiPriority w:val="99"/>
    <w:rsid w:val="00307645"/>
    <w:pPr>
      <w:tabs>
        <w:tab w:val="center" w:pos="4513"/>
        <w:tab w:val="right" w:pos="9026"/>
      </w:tabs>
    </w:pPr>
  </w:style>
  <w:style w:type="character" w:customStyle="1" w:styleId="HeaderChar">
    <w:name w:val="Header Char"/>
    <w:basedOn w:val="DefaultParagraphFont"/>
    <w:link w:val="Header"/>
    <w:uiPriority w:val="99"/>
    <w:locked/>
    <w:rsid w:val="00307645"/>
    <w:rPr>
      <w:rFonts w:ascii="Arial" w:hAnsi="Arial" w:cs="Times New Roman"/>
      <w:sz w:val="24"/>
    </w:rPr>
  </w:style>
  <w:style w:type="paragraph" w:styleId="Footer">
    <w:name w:val="footer"/>
    <w:basedOn w:val="Normal"/>
    <w:link w:val="FooterChar"/>
    <w:uiPriority w:val="99"/>
    <w:rsid w:val="00307645"/>
    <w:pPr>
      <w:tabs>
        <w:tab w:val="center" w:pos="4513"/>
        <w:tab w:val="right" w:pos="9026"/>
      </w:tabs>
    </w:pPr>
  </w:style>
  <w:style w:type="character" w:customStyle="1" w:styleId="FooterChar">
    <w:name w:val="Footer Char"/>
    <w:basedOn w:val="DefaultParagraphFont"/>
    <w:link w:val="Footer"/>
    <w:uiPriority w:val="99"/>
    <w:locked/>
    <w:rsid w:val="00307645"/>
    <w:rPr>
      <w:rFonts w:ascii="Arial" w:hAnsi="Arial" w:cs="Times New Roman"/>
      <w:sz w:val="24"/>
    </w:rPr>
  </w:style>
  <w:style w:type="character" w:styleId="PageNumber">
    <w:name w:val="page number"/>
    <w:basedOn w:val="DefaultParagraphFont"/>
    <w:uiPriority w:val="99"/>
    <w:rsid w:val="00674DB0"/>
    <w:rPr>
      <w:rFonts w:cs="Times New Roman"/>
    </w:rPr>
  </w:style>
  <w:style w:type="table" w:styleId="TableGrid">
    <w:name w:val="Table Grid"/>
    <w:basedOn w:val="TableNormal"/>
    <w:uiPriority w:val="99"/>
    <w:locked/>
    <w:rsid w:val="00E00E20"/>
    <w:pPr>
      <w:keepNext/>
    </w:pPr>
    <w:rPr>
      <w:rFonts w:eastAsia="Times New Roman"/>
      <w:sz w:val="20"/>
      <w:szCs w:val="20"/>
      <w:lang w:bidi="ks-Dev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D34A1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7162736">
      <w:marLeft w:val="0"/>
      <w:marRight w:val="0"/>
      <w:marTop w:val="0"/>
      <w:marBottom w:val="0"/>
      <w:divBdr>
        <w:top w:val="none" w:sz="0" w:space="0" w:color="auto"/>
        <w:left w:val="none" w:sz="0" w:space="0" w:color="auto"/>
        <w:bottom w:val="none" w:sz="0" w:space="0" w:color="auto"/>
        <w:right w:val="none" w:sz="0" w:space="0" w:color="auto"/>
      </w:divBdr>
      <w:divsChild>
        <w:div w:id="127162734">
          <w:marLeft w:val="0"/>
          <w:marRight w:val="0"/>
          <w:marTop w:val="0"/>
          <w:marBottom w:val="0"/>
          <w:divBdr>
            <w:top w:val="none" w:sz="0" w:space="0" w:color="auto"/>
            <w:left w:val="none" w:sz="0" w:space="0" w:color="auto"/>
            <w:bottom w:val="none" w:sz="0" w:space="0" w:color="auto"/>
            <w:right w:val="none" w:sz="0" w:space="0" w:color="auto"/>
          </w:divBdr>
          <w:divsChild>
            <w:div w:id="127162728">
              <w:marLeft w:val="0"/>
              <w:marRight w:val="0"/>
              <w:marTop w:val="0"/>
              <w:marBottom w:val="300"/>
              <w:divBdr>
                <w:top w:val="none" w:sz="0" w:space="0" w:color="auto"/>
                <w:left w:val="none" w:sz="0" w:space="0" w:color="auto"/>
                <w:bottom w:val="none" w:sz="0" w:space="0" w:color="auto"/>
                <w:right w:val="none" w:sz="0" w:space="0" w:color="auto"/>
              </w:divBdr>
              <w:divsChild>
                <w:div w:id="127162733">
                  <w:marLeft w:val="0"/>
                  <w:marRight w:val="0"/>
                  <w:marTop w:val="0"/>
                  <w:marBottom w:val="0"/>
                  <w:divBdr>
                    <w:top w:val="none" w:sz="0" w:space="0" w:color="auto"/>
                    <w:left w:val="none" w:sz="0" w:space="0" w:color="auto"/>
                    <w:bottom w:val="none" w:sz="0" w:space="0" w:color="auto"/>
                    <w:right w:val="none" w:sz="0" w:space="0" w:color="auto"/>
                  </w:divBdr>
                  <w:divsChild>
                    <w:div w:id="1271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737">
      <w:marLeft w:val="0"/>
      <w:marRight w:val="0"/>
      <w:marTop w:val="0"/>
      <w:marBottom w:val="0"/>
      <w:divBdr>
        <w:top w:val="none" w:sz="0" w:space="0" w:color="auto"/>
        <w:left w:val="none" w:sz="0" w:space="0" w:color="auto"/>
        <w:bottom w:val="none" w:sz="0" w:space="0" w:color="auto"/>
        <w:right w:val="none" w:sz="0" w:space="0" w:color="auto"/>
      </w:divBdr>
      <w:divsChild>
        <w:div w:id="127162732">
          <w:marLeft w:val="0"/>
          <w:marRight w:val="0"/>
          <w:marTop w:val="0"/>
          <w:marBottom w:val="0"/>
          <w:divBdr>
            <w:top w:val="none" w:sz="0" w:space="0" w:color="auto"/>
            <w:left w:val="none" w:sz="0" w:space="0" w:color="auto"/>
            <w:bottom w:val="none" w:sz="0" w:space="0" w:color="auto"/>
            <w:right w:val="none" w:sz="0" w:space="0" w:color="auto"/>
          </w:divBdr>
          <w:divsChild>
            <w:div w:id="127162729">
              <w:marLeft w:val="0"/>
              <w:marRight w:val="0"/>
              <w:marTop w:val="0"/>
              <w:marBottom w:val="300"/>
              <w:divBdr>
                <w:top w:val="none" w:sz="0" w:space="0" w:color="auto"/>
                <w:left w:val="none" w:sz="0" w:space="0" w:color="auto"/>
                <w:bottom w:val="none" w:sz="0" w:space="0" w:color="auto"/>
                <w:right w:val="none" w:sz="0" w:space="0" w:color="auto"/>
              </w:divBdr>
              <w:divsChild>
                <w:div w:id="127162735">
                  <w:marLeft w:val="0"/>
                  <w:marRight w:val="0"/>
                  <w:marTop w:val="0"/>
                  <w:marBottom w:val="0"/>
                  <w:divBdr>
                    <w:top w:val="none" w:sz="0" w:space="0" w:color="auto"/>
                    <w:left w:val="none" w:sz="0" w:space="0" w:color="auto"/>
                    <w:bottom w:val="none" w:sz="0" w:space="0" w:color="auto"/>
                    <w:right w:val="none" w:sz="0" w:space="0" w:color="auto"/>
                  </w:divBdr>
                  <w:divsChild>
                    <w:div w:id="1271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uk/government/publications/appeals-process-changes-for-dwp-benefits-and-child-maintenance" TargetMode="External"/><Relationship Id="rId18" Type="http://schemas.openxmlformats.org/officeDocument/2006/relationships/hyperlink" Target="http://www.insidehousing.co.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ewcastle.gov.uk/welfarerights" TargetMode="External"/><Relationship Id="rId7" Type="http://schemas.openxmlformats.org/officeDocument/2006/relationships/image" Target="media/image1.jpeg"/><Relationship Id="rId12" Type="http://schemas.openxmlformats.org/officeDocument/2006/relationships/hyperlink" Target="http://www.justice.gov.uk/forms/hmcts/sscs" TargetMode="External"/><Relationship Id="rId17" Type="http://schemas.openxmlformats.org/officeDocument/2006/relationships/hyperlink" Target="http://homeless.org.uk/news/benefit-sanctions-hitting-homeless-people-hard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uk/government/uploads/system/uploads/attachment_data/file/209385/foi-2451-2013.pdf" TargetMode="External"/><Relationship Id="rId20" Type="http://schemas.openxmlformats.org/officeDocument/2006/relationships/hyperlink" Target="http://www.newcastle.gov.uk/benefits-and-council-tax/benefits/discretionary-housing-pay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pi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ov.uk/government/news/claimant-commitment-to-spell-out-what-jobseekers-must-do-in-return-for-benefits" TargetMode="External"/><Relationship Id="rId23" Type="http://schemas.openxmlformats.org/officeDocument/2006/relationships/hyperlink" Target="mailto:activeinclusion@newcastle.gov.uk" TargetMode="External"/><Relationship Id="rId10" Type="http://schemas.openxmlformats.org/officeDocument/2006/relationships/hyperlink" Target="http://www.disabilityrightsuk.org/personal-independence-payment-pip" TargetMode="External"/><Relationship Id="rId19" Type="http://schemas.openxmlformats.org/officeDocument/2006/relationships/hyperlink" Target="mailto:benefits@newcastle.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pag.org.uk/content/new-appeals-rules-and-procedures" TargetMode="External"/><Relationship Id="rId22" Type="http://schemas.openxmlformats.org/officeDocument/2006/relationships/hyperlink" Target="http://www.newcastle.gov.uk/your-council/councillors/meetings-agendas-and-minut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361</TotalTime>
  <Pages>4</Pages>
  <Words>1388</Words>
  <Characters>7915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13113</cp:lastModifiedBy>
  <cp:revision>20</cp:revision>
  <cp:lastPrinted>2013-09-27T12:54:00Z</cp:lastPrinted>
  <dcterms:created xsi:type="dcterms:W3CDTF">2013-09-24T15:45:00Z</dcterms:created>
  <dcterms:modified xsi:type="dcterms:W3CDTF">2013-09-27T16:51:00Z</dcterms:modified>
</cp:coreProperties>
</file>