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D0090" w14:textId="22D06EBB" w:rsidR="004334D6" w:rsidRDefault="005C5019" w:rsidP="00DB58F8">
      <w:pPr>
        <w:jc w:val="center"/>
        <w:outlineLvl w:val="0"/>
        <w:rPr>
          <w:rFonts w:cs="Arial"/>
          <w:b/>
          <w:sz w:val="28"/>
          <w:szCs w:val="28"/>
        </w:rPr>
      </w:pPr>
      <w:r>
        <w:rPr>
          <w:rStyle w:val="FootnoteReference"/>
          <w:rFonts w:cs="Arial"/>
          <w:b/>
          <w:sz w:val="28"/>
          <w:szCs w:val="28"/>
        </w:rPr>
        <w:footnoteReference w:id="1"/>
      </w:r>
      <w:r w:rsidR="004334D6">
        <w:rPr>
          <w:rFonts w:cs="Arial"/>
          <w:b/>
          <w:sz w:val="28"/>
          <w:szCs w:val="28"/>
        </w:rPr>
        <w:t xml:space="preserve">The Council of the City of </w:t>
      </w:r>
      <w:smartTag w:uri="urn:schemas-microsoft-com:office:smarttags" w:element="place">
        <w:smartTag w:uri="urn:schemas-microsoft-com:office:smarttags" w:element="City">
          <w:r w:rsidR="004334D6">
            <w:rPr>
              <w:rFonts w:cs="Arial"/>
              <w:b/>
              <w:sz w:val="28"/>
              <w:szCs w:val="28"/>
            </w:rPr>
            <w:t>Newcastle upon Tyne</w:t>
          </w:r>
        </w:smartTag>
      </w:smartTag>
      <w:r w:rsidR="004334D6">
        <w:rPr>
          <w:rFonts w:cs="Arial"/>
          <w:b/>
          <w:sz w:val="28"/>
          <w:szCs w:val="28"/>
        </w:rPr>
        <w:t xml:space="preserve"> (“The Council”) </w:t>
      </w:r>
    </w:p>
    <w:p w14:paraId="184B5222" w14:textId="454A4332" w:rsidR="004334D6" w:rsidRPr="00DB58F8" w:rsidRDefault="004334D6">
      <w:pPr>
        <w:pStyle w:val="Heading2"/>
        <w:rPr>
          <w:szCs w:val="28"/>
        </w:rPr>
      </w:pPr>
      <w:r w:rsidRPr="00DB58F8">
        <w:rPr>
          <w:szCs w:val="28"/>
        </w:rPr>
        <w:t>Differential Charging Policy</w:t>
      </w:r>
      <w:r w:rsidR="00206201">
        <w:rPr>
          <w:szCs w:val="28"/>
        </w:rPr>
        <w:t xml:space="preserve"> for </w:t>
      </w:r>
      <w:proofErr w:type="spellStart"/>
      <w:r w:rsidR="00206201">
        <w:rPr>
          <w:szCs w:val="28"/>
        </w:rPr>
        <w:t>contravetions</w:t>
      </w:r>
      <w:proofErr w:type="spellEnd"/>
      <w:r w:rsidR="00206201">
        <w:rPr>
          <w:szCs w:val="28"/>
        </w:rPr>
        <w:t xml:space="preserve"> which took place on, or after, 31 May 2022</w:t>
      </w:r>
    </w:p>
    <w:p w14:paraId="1C9A9036" w14:textId="77777777" w:rsidR="004334D6" w:rsidRDefault="004334D6">
      <w:pPr>
        <w:jc w:val="center"/>
        <w:rPr>
          <w:sz w:val="28"/>
        </w:rPr>
      </w:pPr>
    </w:p>
    <w:p w14:paraId="709B2162" w14:textId="77777777" w:rsidR="004334D6" w:rsidRDefault="004334D6">
      <w:pPr>
        <w:pStyle w:val="Heading1"/>
      </w:pPr>
      <w:r>
        <w:t>Statement of Purpose</w:t>
      </w:r>
    </w:p>
    <w:p w14:paraId="0A5CAE88" w14:textId="77777777" w:rsidR="004334D6" w:rsidRDefault="004334D6" w:rsidP="00AC70DE"/>
    <w:p w14:paraId="20A049AF" w14:textId="77777777" w:rsidR="004334D6" w:rsidRPr="00AC70DE" w:rsidRDefault="004334D6" w:rsidP="00AC70DE">
      <w:r>
        <w:t xml:space="preserve">This document outlines the reasoning behind the choice of band 2 charges adopted in </w:t>
      </w:r>
      <w:smartTag w:uri="urn:schemas-microsoft-com:office:smarttags" w:element="place">
        <w:smartTag w:uri="urn:schemas-microsoft-com:office:smarttags" w:element="City">
          <w:r>
            <w:t>Newcastle-upon-Tyne</w:t>
          </w:r>
        </w:smartTag>
      </w:smartTag>
      <w:r>
        <w:t>; outlines what the charges are and gives information on the classification of contraventions to be applied for higher and lower level charges.</w:t>
      </w:r>
    </w:p>
    <w:p w14:paraId="403793D8" w14:textId="77777777" w:rsidR="004334D6" w:rsidRDefault="004334D6">
      <w:pPr>
        <w:pStyle w:val="Heading1"/>
      </w:pPr>
    </w:p>
    <w:p w14:paraId="2F2F9412" w14:textId="77777777" w:rsidR="004334D6" w:rsidRDefault="004334D6">
      <w:pPr>
        <w:pStyle w:val="Heading1"/>
      </w:pPr>
      <w:r>
        <w:t>Background</w:t>
      </w:r>
    </w:p>
    <w:p w14:paraId="4F503EC5" w14:textId="77777777" w:rsidR="004334D6" w:rsidRDefault="004334D6"/>
    <w:p w14:paraId="7C33674A" w14:textId="3A7AF53A" w:rsidR="005C5019" w:rsidRDefault="005C5019" w:rsidP="005C5019">
      <w:pPr>
        <w:ind w:left="720"/>
        <w:rPr>
          <w:rFonts w:cs="Arial"/>
          <w:lang w:val="en-GB"/>
        </w:rPr>
      </w:pPr>
      <w:r w:rsidRPr="007D572A">
        <w:rPr>
          <w:rFonts w:cs="Arial"/>
        </w:rPr>
        <w:t xml:space="preserve">Part 6 of the Traffic Management Act 2004 makes provision for differential charging for civil parking contraventions. For contraventions which took place on, or after, 31 May 2022, Schedule 3 to the </w:t>
      </w:r>
      <w:r w:rsidRPr="007D572A">
        <w:rPr>
          <w:rFonts w:cs="Arial"/>
          <w:color w:val="000000"/>
        </w:rPr>
        <w:t xml:space="preserve">Road Traffic Contraventions (Approved Devices, Charging Guidelines and General Provisions) (England) Regulations 2022 </w:t>
      </w:r>
      <w:r w:rsidRPr="007D572A">
        <w:rPr>
          <w:rFonts w:cs="Arial"/>
        </w:rPr>
        <w:t>makes provision for:</w:t>
      </w:r>
    </w:p>
    <w:p w14:paraId="09F711BB" w14:textId="77777777" w:rsidR="004334D6" w:rsidRDefault="004334D6"/>
    <w:p w14:paraId="666FF5D8" w14:textId="77777777" w:rsidR="004334D6" w:rsidRDefault="004334D6" w:rsidP="003846B1">
      <w:pPr>
        <w:numPr>
          <w:ilvl w:val="0"/>
          <w:numId w:val="5"/>
        </w:numPr>
      </w:pPr>
      <w:r>
        <w:t>Higher/lower penalty charges depending on the type and seriousness of the contravention.</w:t>
      </w:r>
    </w:p>
    <w:p w14:paraId="7037412C" w14:textId="77777777" w:rsidR="004334D6" w:rsidRDefault="004334D6" w:rsidP="00AC70DE"/>
    <w:p w14:paraId="12CC2FCC" w14:textId="77777777" w:rsidR="004334D6" w:rsidRDefault="004334D6" w:rsidP="00AC70DE">
      <w:r>
        <w:t xml:space="preserve">Local Authorities were given the choice of 2 bands.  Each Council may only use one band within the local authority area and there is no scope to use a dual band system across areas of the city.  </w:t>
      </w:r>
    </w:p>
    <w:p w14:paraId="3E524D7F" w14:textId="77777777" w:rsidR="004334D6" w:rsidRDefault="004334D6" w:rsidP="00AC70DE"/>
    <w:p w14:paraId="7673D74D" w14:textId="77777777" w:rsidR="004334D6" w:rsidRDefault="004334D6" w:rsidP="00AC70DE">
      <w:r>
        <w:t xml:space="preserve">The Council has adopted </w:t>
      </w:r>
      <w:r w:rsidRPr="00F24BCC">
        <w:rPr>
          <w:b/>
        </w:rPr>
        <w:t>Band 2</w:t>
      </w:r>
      <w:r>
        <w:t xml:space="preserve"> penalty charges (as below).  This will subsequently help to:</w:t>
      </w:r>
    </w:p>
    <w:p w14:paraId="5517A0D4" w14:textId="77777777" w:rsidR="004334D6" w:rsidRDefault="004334D6" w:rsidP="00AC70DE">
      <w:pPr>
        <w:numPr>
          <w:ilvl w:val="0"/>
          <w:numId w:val="6"/>
        </w:numPr>
      </w:pPr>
      <w:r>
        <w:t>Discourage parking on yellow lines and thereby alleviate congestion, improve road safety and contribute towards the expeditious movement of traffic across the City;</w:t>
      </w:r>
    </w:p>
    <w:p w14:paraId="0681C899" w14:textId="77777777" w:rsidR="004334D6" w:rsidRDefault="004334D6" w:rsidP="00AC70DE">
      <w:pPr>
        <w:numPr>
          <w:ilvl w:val="0"/>
          <w:numId w:val="6"/>
        </w:numPr>
      </w:pPr>
      <w:r>
        <w:t>Protect parking for key road users such as blue badge holders,  HGV’s and residents permit holders;</w:t>
      </w:r>
    </w:p>
    <w:p w14:paraId="3BF9586B" w14:textId="77777777" w:rsidR="004334D6" w:rsidRDefault="004334D6" w:rsidP="00AC70DE">
      <w:pPr>
        <w:numPr>
          <w:ilvl w:val="0"/>
          <w:numId w:val="6"/>
        </w:numPr>
      </w:pPr>
      <w:r>
        <w:t xml:space="preserve">Protect dropped </w:t>
      </w:r>
      <w:proofErr w:type="spellStart"/>
      <w:r>
        <w:t>kerbs</w:t>
      </w:r>
      <w:proofErr w:type="spellEnd"/>
      <w:r>
        <w:t xml:space="preserve"> for those persons with mobility problems and parents pushing prams etc.</w:t>
      </w:r>
    </w:p>
    <w:p w14:paraId="67C1DB9B" w14:textId="77777777" w:rsidR="004334D6" w:rsidRDefault="004334D6" w:rsidP="00AC70DE">
      <w:pPr>
        <w:numPr>
          <w:ilvl w:val="0"/>
          <w:numId w:val="6"/>
        </w:numPr>
      </w:pPr>
      <w:r>
        <w:t>Be consistent with the majority of regional partners following consultation and discussion with LTP partners and members of the North East Parking Forum.</w:t>
      </w:r>
    </w:p>
    <w:p w14:paraId="1312C83D" w14:textId="77777777" w:rsidR="004334D6" w:rsidRDefault="004334D6"/>
    <w:p w14:paraId="52989A76" w14:textId="77777777" w:rsidR="004334D6" w:rsidRDefault="004334D6"/>
    <w:p w14:paraId="436A7397" w14:textId="77777777" w:rsidR="004334D6" w:rsidRDefault="004334D6"/>
    <w:p w14:paraId="65E12FB6" w14:textId="77777777" w:rsidR="004334D6" w:rsidRDefault="004334D6"/>
    <w:p w14:paraId="0AF03A61" w14:textId="77777777" w:rsidR="004334D6" w:rsidRDefault="004334D6"/>
    <w:p w14:paraId="3CFC45DF" w14:textId="77777777" w:rsidR="004334D6" w:rsidRDefault="004334D6"/>
    <w:p w14:paraId="3511636A" w14:textId="77777777" w:rsidR="004334D6" w:rsidRDefault="004334D6"/>
    <w:p w14:paraId="771FA675" w14:textId="77777777" w:rsidR="004334D6" w:rsidRDefault="004334D6"/>
    <w:p w14:paraId="1441C540" w14:textId="77777777" w:rsidR="004334D6" w:rsidRDefault="004334D6"/>
    <w:p w14:paraId="3A38EDB6" w14:textId="77777777" w:rsidR="004334D6" w:rsidRDefault="004334D6"/>
    <w:p w14:paraId="35042134" w14:textId="77777777" w:rsidR="004334D6" w:rsidRDefault="004334D6">
      <w:pPr>
        <w:pStyle w:val="Heading1"/>
      </w:pPr>
      <w:r>
        <w:t xml:space="preserve">Penalty Charge </w:t>
      </w:r>
    </w:p>
    <w:p w14:paraId="7A7AA9AB" w14:textId="77777777" w:rsidR="004334D6" w:rsidRDefault="004334D6" w:rsidP="008E7A8E"/>
    <w:p w14:paraId="4ECC06E5" w14:textId="77777777" w:rsidR="004334D6" w:rsidRDefault="004334D6" w:rsidP="008E7A8E">
      <w:r>
        <w:t>The band of the higher/lower level of penalties is as follows:</w:t>
      </w:r>
    </w:p>
    <w:p w14:paraId="0431701D" w14:textId="77777777" w:rsidR="004334D6" w:rsidRDefault="004334D6" w:rsidP="008E7A8E"/>
    <w:tbl>
      <w:tblPr>
        <w:tblW w:w="5000" w:type="pct"/>
        <w:tblLook w:val="0000" w:firstRow="0" w:lastRow="0" w:firstColumn="0" w:lastColumn="0" w:noHBand="0" w:noVBand="0"/>
      </w:tblPr>
      <w:tblGrid>
        <w:gridCol w:w="597"/>
        <w:gridCol w:w="1064"/>
        <w:gridCol w:w="1058"/>
        <w:gridCol w:w="1279"/>
        <w:gridCol w:w="1272"/>
        <w:gridCol w:w="1685"/>
        <w:gridCol w:w="1685"/>
      </w:tblGrid>
      <w:tr w:rsidR="004334D6" w14:paraId="373FC705" w14:textId="77777777" w:rsidTr="000D0A2E">
        <w:trPr>
          <w:trHeight w:val="1378"/>
        </w:trPr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14:paraId="77A6B1BE" w14:textId="77777777" w:rsidR="004334D6" w:rsidRDefault="004334D6" w:rsidP="000D0A2E">
            <w:pPr>
              <w:pStyle w:val="ColumnHeader"/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</w:tcPr>
          <w:p w14:paraId="50FDC27B" w14:textId="77777777" w:rsidR="004334D6" w:rsidRDefault="004334D6" w:rsidP="000D0A2E">
            <w:pPr>
              <w:pStyle w:val="ColumnHeader"/>
            </w:pPr>
            <w:r>
              <w:t>(2)</w:t>
            </w:r>
          </w:p>
          <w:p w14:paraId="321AB749" w14:textId="77777777" w:rsidR="004334D6" w:rsidRDefault="004334D6" w:rsidP="000D0A2E">
            <w:pPr>
              <w:pStyle w:val="ColumnHeader"/>
              <w:jc w:val="left"/>
            </w:pPr>
            <w:r>
              <w:t>Higher level penalty charge</w:t>
            </w:r>
          </w:p>
        </w:tc>
        <w:tc>
          <w:tcPr>
            <w:tcW w:w="612" w:type="pct"/>
            <w:tcBorders>
              <w:top w:val="single" w:sz="4" w:space="0" w:color="auto"/>
              <w:bottom w:val="single" w:sz="4" w:space="0" w:color="auto"/>
            </w:tcBorders>
          </w:tcPr>
          <w:p w14:paraId="45F633C0" w14:textId="77777777" w:rsidR="004334D6" w:rsidRDefault="004334D6" w:rsidP="000D0A2E">
            <w:pPr>
              <w:pStyle w:val="ColumnHeader"/>
            </w:pPr>
            <w:r>
              <w:t>(3)</w:t>
            </w:r>
          </w:p>
          <w:p w14:paraId="112C2A7D" w14:textId="77777777" w:rsidR="004334D6" w:rsidRDefault="004334D6" w:rsidP="000D0A2E">
            <w:pPr>
              <w:pStyle w:val="ColumnHeader"/>
              <w:jc w:val="left"/>
            </w:pPr>
            <w:r>
              <w:t xml:space="preserve">Lower level penalty charge </w:t>
            </w: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</w:tcPr>
          <w:p w14:paraId="6666B9CD" w14:textId="77777777" w:rsidR="004334D6" w:rsidRDefault="004334D6" w:rsidP="000D0A2E">
            <w:pPr>
              <w:pStyle w:val="ColumnHeader"/>
            </w:pPr>
            <w:r>
              <w:t>(4)</w:t>
            </w:r>
          </w:p>
          <w:p w14:paraId="0DF2D6C0" w14:textId="77777777" w:rsidR="004334D6" w:rsidRDefault="004334D6" w:rsidP="000D0A2E">
            <w:pPr>
              <w:pStyle w:val="ColumnHeader"/>
              <w:jc w:val="left"/>
            </w:pPr>
            <w:r>
              <w:t>Higher level penalty charge paid early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</w:tcPr>
          <w:p w14:paraId="38253F18" w14:textId="77777777" w:rsidR="004334D6" w:rsidRDefault="004334D6" w:rsidP="000D0A2E">
            <w:pPr>
              <w:pStyle w:val="ColumnHeader"/>
            </w:pPr>
            <w:r>
              <w:t>(5)</w:t>
            </w:r>
          </w:p>
          <w:p w14:paraId="07F2502B" w14:textId="77777777" w:rsidR="004334D6" w:rsidRDefault="004334D6" w:rsidP="000D0A2E">
            <w:pPr>
              <w:pStyle w:val="ColumnHeader"/>
              <w:jc w:val="left"/>
            </w:pPr>
            <w:r>
              <w:t>Lower level penalty charge paid early</w:t>
            </w: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</w:tcPr>
          <w:p w14:paraId="75FA29EE" w14:textId="77777777" w:rsidR="004334D6" w:rsidRDefault="004334D6" w:rsidP="000D0A2E">
            <w:pPr>
              <w:pStyle w:val="ColumnHeader"/>
              <w:jc w:val="left"/>
            </w:pPr>
            <w:r>
              <w:t>(6)</w:t>
            </w:r>
          </w:p>
          <w:p w14:paraId="19278507" w14:textId="77777777" w:rsidR="004334D6" w:rsidRDefault="004334D6" w:rsidP="000D0A2E">
            <w:pPr>
              <w:pStyle w:val="ColumnHeader"/>
              <w:jc w:val="left"/>
            </w:pPr>
            <w:r>
              <w:t>Higher level penalty charge paid after service of charge certificate</w:t>
            </w: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</w:tcPr>
          <w:p w14:paraId="1C2710DF" w14:textId="77777777" w:rsidR="004334D6" w:rsidRDefault="004334D6" w:rsidP="000D0A2E">
            <w:pPr>
              <w:pStyle w:val="ColumnHeader"/>
              <w:jc w:val="left"/>
            </w:pPr>
            <w:r>
              <w:t>(7)</w:t>
            </w:r>
          </w:p>
          <w:p w14:paraId="21BEFEC0" w14:textId="77777777" w:rsidR="004334D6" w:rsidRDefault="004334D6" w:rsidP="000D0A2E">
            <w:pPr>
              <w:pStyle w:val="ColumnHeader"/>
              <w:jc w:val="left"/>
            </w:pPr>
            <w:r>
              <w:t>Lower level penalty charge  paid after service of charge certificate</w:t>
            </w:r>
          </w:p>
        </w:tc>
      </w:tr>
      <w:tr w:rsidR="004334D6" w14:paraId="5D6532D2" w14:textId="77777777" w:rsidTr="000D0A2E">
        <w:trPr>
          <w:trHeight w:val="284"/>
        </w:trPr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14:paraId="24C2D84B" w14:textId="77777777" w:rsidR="004334D6" w:rsidRPr="00A9422F" w:rsidRDefault="004334D6" w:rsidP="000D0A2E">
            <w:pPr>
              <w:pStyle w:val="TableText"/>
              <w:rPr>
                <w:b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</w:tcPr>
          <w:p w14:paraId="61F0880A" w14:textId="77777777" w:rsidR="004334D6" w:rsidRPr="00A9422F" w:rsidRDefault="004334D6" w:rsidP="000D0A2E">
            <w:pPr>
              <w:pStyle w:val="TableText"/>
              <w:rPr>
                <w:b/>
              </w:rPr>
            </w:pPr>
            <w:r w:rsidRPr="00A9422F">
              <w:rPr>
                <w:b/>
              </w:rPr>
              <w:t>£70</w:t>
            </w:r>
          </w:p>
        </w:tc>
        <w:tc>
          <w:tcPr>
            <w:tcW w:w="612" w:type="pct"/>
            <w:tcBorders>
              <w:top w:val="single" w:sz="4" w:space="0" w:color="auto"/>
              <w:bottom w:val="single" w:sz="4" w:space="0" w:color="auto"/>
            </w:tcBorders>
          </w:tcPr>
          <w:p w14:paraId="639FDCD2" w14:textId="77777777" w:rsidR="004334D6" w:rsidRPr="00A9422F" w:rsidRDefault="004334D6" w:rsidP="000D0A2E">
            <w:pPr>
              <w:pStyle w:val="TableText"/>
              <w:rPr>
                <w:b/>
              </w:rPr>
            </w:pPr>
            <w:r w:rsidRPr="00A9422F">
              <w:rPr>
                <w:b/>
              </w:rPr>
              <w:t>£50</w:t>
            </w: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</w:tcPr>
          <w:p w14:paraId="06E7416E" w14:textId="77777777" w:rsidR="004334D6" w:rsidRPr="00A9422F" w:rsidRDefault="004334D6" w:rsidP="000D0A2E">
            <w:pPr>
              <w:pStyle w:val="TableText"/>
              <w:rPr>
                <w:b/>
              </w:rPr>
            </w:pPr>
            <w:r w:rsidRPr="00A9422F">
              <w:rPr>
                <w:b/>
              </w:rPr>
              <w:t>£35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</w:tcPr>
          <w:p w14:paraId="70C5C3F8" w14:textId="77777777" w:rsidR="004334D6" w:rsidRPr="00A9422F" w:rsidRDefault="004334D6" w:rsidP="000D0A2E">
            <w:pPr>
              <w:pStyle w:val="TableText"/>
              <w:rPr>
                <w:b/>
              </w:rPr>
            </w:pPr>
            <w:r w:rsidRPr="00A9422F">
              <w:rPr>
                <w:b/>
              </w:rPr>
              <w:t>£25</w:t>
            </w: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</w:tcPr>
          <w:p w14:paraId="6DFBE4F8" w14:textId="77777777" w:rsidR="004334D6" w:rsidRPr="00A9422F" w:rsidRDefault="004334D6" w:rsidP="000D0A2E">
            <w:pPr>
              <w:pStyle w:val="TableText"/>
              <w:rPr>
                <w:b/>
              </w:rPr>
            </w:pPr>
            <w:r w:rsidRPr="00A9422F">
              <w:rPr>
                <w:b/>
              </w:rPr>
              <w:t>£105</w:t>
            </w: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</w:tcPr>
          <w:p w14:paraId="738C033D" w14:textId="77777777" w:rsidR="004334D6" w:rsidRPr="00A9422F" w:rsidRDefault="004334D6" w:rsidP="000D0A2E">
            <w:pPr>
              <w:pStyle w:val="TableText"/>
              <w:rPr>
                <w:b/>
              </w:rPr>
            </w:pPr>
            <w:r w:rsidRPr="00A9422F">
              <w:rPr>
                <w:b/>
              </w:rPr>
              <w:t>£75</w:t>
            </w:r>
          </w:p>
        </w:tc>
      </w:tr>
    </w:tbl>
    <w:p w14:paraId="0E5B7F47" w14:textId="77777777" w:rsidR="004334D6" w:rsidRDefault="004334D6" w:rsidP="008E7A8E"/>
    <w:p w14:paraId="43264701" w14:textId="77777777" w:rsidR="00445F9C" w:rsidRDefault="00445F9C" w:rsidP="00DA38E8">
      <w:pPr>
        <w:autoSpaceDE w:val="0"/>
        <w:autoSpaceDN w:val="0"/>
        <w:adjustRightInd w:val="0"/>
        <w:rPr>
          <w:rFonts w:cs="Arial"/>
          <w:color w:val="1A1A18"/>
          <w:sz w:val="28"/>
          <w:szCs w:val="28"/>
          <w:lang w:val="en-GB" w:eastAsia="en-GB"/>
        </w:rPr>
      </w:pPr>
    </w:p>
    <w:p w14:paraId="672E8A3A" w14:textId="70346C09" w:rsidR="004334D6" w:rsidRPr="007D572A" w:rsidRDefault="004334D6" w:rsidP="00DA38E8">
      <w:pPr>
        <w:autoSpaceDE w:val="0"/>
        <w:autoSpaceDN w:val="0"/>
        <w:adjustRightInd w:val="0"/>
        <w:rPr>
          <w:rFonts w:cs="Arial"/>
          <w:b/>
          <w:bCs/>
          <w:u w:val="single"/>
          <w:lang w:val="en-GB" w:eastAsia="en-GB"/>
        </w:rPr>
      </w:pPr>
      <w:r w:rsidRPr="007D572A">
        <w:rPr>
          <w:rFonts w:cs="Arial"/>
          <w:b/>
          <w:bCs/>
          <w:u w:val="single"/>
          <w:lang w:val="en-GB" w:eastAsia="en-GB"/>
        </w:rPr>
        <w:t xml:space="preserve">Higher level </w:t>
      </w:r>
      <w:r w:rsidR="00445F9C" w:rsidRPr="007D572A">
        <w:rPr>
          <w:rFonts w:cs="Arial"/>
          <w:b/>
          <w:bCs/>
          <w:u w:val="single"/>
          <w:lang w:val="en-GB" w:eastAsia="en-GB"/>
        </w:rPr>
        <w:t xml:space="preserve"> parking </w:t>
      </w:r>
      <w:r w:rsidRPr="007D572A">
        <w:rPr>
          <w:rFonts w:cs="Arial"/>
          <w:b/>
          <w:bCs/>
          <w:u w:val="single"/>
          <w:lang w:val="en-GB" w:eastAsia="en-GB"/>
        </w:rPr>
        <w:t>contraventions</w:t>
      </w:r>
      <w:r w:rsidR="00445F9C" w:rsidRPr="007D572A">
        <w:rPr>
          <w:rFonts w:cs="Arial"/>
          <w:b/>
          <w:bCs/>
          <w:u w:val="single"/>
          <w:lang w:val="en-GB" w:eastAsia="en-GB"/>
        </w:rPr>
        <w:t xml:space="preserve"> (where “OGL” means “Outside Greater London”):</w:t>
      </w:r>
    </w:p>
    <w:p w14:paraId="7F79BF30" w14:textId="77777777" w:rsidR="004334D6" w:rsidRPr="007D572A" w:rsidRDefault="004334D6" w:rsidP="00DA38E8">
      <w:pPr>
        <w:autoSpaceDE w:val="0"/>
        <w:autoSpaceDN w:val="0"/>
        <w:adjustRightInd w:val="0"/>
        <w:rPr>
          <w:rFonts w:ascii="HelveticaNeue-Bold" w:hAnsi="HelveticaNeue-Bold" w:cs="HelveticaNeue-Bold"/>
          <w:b/>
          <w:bCs/>
          <w:lang w:val="en-GB" w:eastAsia="en-GB"/>
        </w:rPr>
      </w:pPr>
    </w:p>
    <w:p w14:paraId="0C0A0751" w14:textId="77777777" w:rsidR="00445F9C" w:rsidRDefault="00445F9C" w:rsidP="002243CB">
      <w:pPr>
        <w:pStyle w:val="legclearfix"/>
        <w:numPr>
          <w:ilvl w:val="0"/>
          <w:numId w:val="7"/>
        </w:numPr>
        <w:shd w:val="clear" w:color="auto" w:fill="FFFFFF"/>
        <w:spacing w:before="0" w:beforeAutospacing="0" w:after="120" w:afterAutospacing="0" w:line="360" w:lineRule="atLeast"/>
        <w:ind w:hanging="720"/>
        <w:rPr>
          <w:rStyle w:val="legds"/>
          <w:rFonts w:ascii="Arial" w:hAnsi="Arial" w:cs="Arial"/>
        </w:rPr>
      </w:pPr>
      <w:r w:rsidRPr="007D572A">
        <w:rPr>
          <w:rStyle w:val="legds"/>
          <w:rFonts w:ascii="Arial" w:hAnsi="Arial" w:cs="Arial"/>
        </w:rPr>
        <w:t>an OGL parking contravention involving the commission of an offence of the kind referred to in paragraph 4(2)(b) of Schedule 7 to the TMA 2004 (contravention of waiting, loading or unloading restrictions or prohibitions);</w:t>
      </w:r>
    </w:p>
    <w:p w14:paraId="4EA57DED" w14:textId="77777777" w:rsidR="00445F9C" w:rsidRDefault="00445F9C" w:rsidP="00445F9C">
      <w:pPr>
        <w:pStyle w:val="legclearfix"/>
        <w:numPr>
          <w:ilvl w:val="0"/>
          <w:numId w:val="7"/>
        </w:numPr>
        <w:shd w:val="clear" w:color="auto" w:fill="FFFFFF"/>
        <w:spacing w:before="0" w:beforeAutospacing="0" w:after="120" w:afterAutospacing="0" w:line="360" w:lineRule="atLeast"/>
        <w:ind w:hanging="720"/>
        <w:rPr>
          <w:rStyle w:val="legds"/>
          <w:rFonts w:ascii="Arial" w:hAnsi="Arial" w:cs="Arial"/>
        </w:rPr>
      </w:pPr>
      <w:r w:rsidRPr="007D572A">
        <w:rPr>
          <w:rStyle w:val="legds"/>
          <w:rFonts w:ascii="Arial" w:hAnsi="Arial" w:cs="Arial"/>
        </w:rPr>
        <w:t>an OGL parking contravention involving the leaving of a vehicle in an on-street parking place otherwise than as authorised by or under any order relating to the parking place in any of the following cases</w:t>
      </w:r>
      <w:r>
        <w:rPr>
          <w:rStyle w:val="legds"/>
          <w:rFonts w:ascii="Arial" w:hAnsi="Arial" w:cs="Arial"/>
        </w:rPr>
        <w:t xml:space="preserve"> – </w:t>
      </w:r>
    </w:p>
    <w:p w14:paraId="7A90A3AC" w14:textId="77777777" w:rsidR="00445F9C" w:rsidRDefault="00445F9C" w:rsidP="00445F9C">
      <w:pPr>
        <w:pStyle w:val="legclearfix"/>
        <w:numPr>
          <w:ilvl w:val="1"/>
          <w:numId w:val="7"/>
        </w:numPr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</w:rPr>
      </w:pPr>
      <w:r w:rsidRPr="007D572A">
        <w:rPr>
          <w:rStyle w:val="legds"/>
          <w:rFonts w:ascii="Arial" w:hAnsi="Arial" w:cs="Arial"/>
        </w:rPr>
        <w:t>without displaying a permit, voucher or pay and display ticket;</w:t>
      </w:r>
    </w:p>
    <w:p w14:paraId="7EB68260" w14:textId="77777777" w:rsidR="00445F9C" w:rsidRDefault="00445F9C" w:rsidP="00445F9C">
      <w:pPr>
        <w:pStyle w:val="legclearfix"/>
        <w:numPr>
          <w:ilvl w:val="1"/>
          <w:numId w:val="7"/>
        </w:numPr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</w:rPr>
      </w:pPr>
      <w:r w:rsidRPr="007D572A">
        <w:rPr>
          <w:rStyle w:val="legds"/>
          <w:rFonts w:ascii="Arial" w:hAnsi="Arial" w:cs="Arial"/>
        </w:rPr>
        <w:t>in a place where parking has been suspended;</w:t>
      </w:r>
    </w:p>
    <w:p w14:paraId="2D1F1225" w14:textId="77777777" w:rsidR="00445F9C" w:rsidRDefault="00445F9C" w:rsidP="00445F9C">
      <w:pPr>
        <w:pStyle w:val="legclearfix"/>
        <w:numPr>
          <w:ilvl w:val="1"/>
          <w:numId w:val="7"/>
        </w:numPr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</w:rPr>
      </w:pPr>
      <w:r w:rsidRPr="007D572A">
        <w:rPr>
          <w:rStyle w:val="legds"/>
          <w:rFonts w:ascii="Arial" w:hAnsi="Arial" w:cs="Arial"/>
        </w:rPr>
        <w:t>where the vehicle is used in connection with the sale of goods or the offering or exposure of goods for sale;</w:t>
      </w:r>
    </w:p>
    <w:p w14:paraId="13AD207D" w14:textId="77777777" w:rsidR="00445F9C" w:rsidRDefault="00445F9C" w:rsidP="00445F9C">
      <w:pPr>
        <w:pStyle w:val="legclearfix"/>
        <w:numPr>
          <w:ilvl w:val="1"/>
          <w:numId w:val="7"/>
        </w:numPr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</w:rPr>
      </w:pPr>
      <w:r w:rsidRPr="007D572A">
        <w:rPr>
          <w:rStyle w:val="legds"/>
          <w:rFonts w:ascii="Arial" w:hAnsi="Arial" w:cs="Arial"/>
        </w:rPr>
        <w:t>where the vehicle does not fall within the class of vehicle permitted to park there;</w:t>
      </w:r>
    </w:p>
    <w:p w14:paraId="7BE711AB" w14:textId="77777777" w:rsidR="00445F9C" w:rsidRDefault="00445F9C" w:rsidP="00445F9C">
      <w:pPr>
        <w:pStyle w:val="legclearfix"/>
        <w:numPr>
          <w:ilvl w:val="0"/>
          <w:numId w:val="7"/>
        </w:numPr>
        <w:shd w:val="clear" w:color="auto" w:fill="FFFFFF"/>
        <w:spacing w:before="0" w:beforeAutospacing="0" w:after="120" w:afterAutospacing="0" w:line="360" w:lineRule="atLeast"/>
        <w:ind w:hanging="720"/>
        <w:rPr>
          <w:rStyle w:val="legds"/>
          <w:rFonts w:ascii="Arial" w:hAnsi="Arial" w:cs="Arial"/>
        </w:rPr>
      </w:pPr>
      <w:r w:rsidRPr="007D572A">
        <w:rPr>
          <w:rStyle w:val="legds"/>
          <w:rFonts w:ascii="Arial" w:hAnsi="Arial" w:cs="Arial"/>
        </w:rPr>
        <w:t>a contravention of the prohibition imposed by section 85 of the TMA 2004 (double parking etc.);</w:t>
      </w:r>
    </w:p>
    <w:p w14:paraId="4C89927E" w14:textId="77777777" w:rsidR="00445F9C" w:rsidRDefault="00445F9C" w:rsidP="00445F9C">
      <w:pPr>
        <w:pStyle w:val="legclearfix"/>
        <w:numPr>
          <w:ilvl w:val="0"/>
          <w:numId w:val="7"/>
        </w:numPr>
        <w:shd w:val="clear" w:color="auto" w:fill="FFFFFF"/>
        <w:spacing w:before="0" w:beforeAutospacing="0" w:after="120" w:afterAutospacing="0" w:line="360" w:lineRule="atLeast"/>
        <w:ind w:hanging="720"/>
        <w:rPr>
          <w:rStyle w:val="legds"/>
          <w:rFonts w:ascii="Arial" w:hAnsi="Arial" w:cs="Arial"/>
        </w:rPr>
      </w:pPr>
      <w:r w:rsidRPr="007D572A">
        <w:rPr>
          <w:rStyle w:val="legds"/>
          <w:rFonts w:ascii="Arial" w:hAnsi="Arial" w:cs="Arial"/>
        </w:rPr>
        <w:t>a contravention of the prohibition imposed by section 86 of the TMA 2004 (dropped footways)</w:t>
      </w:r>
      <w:r>
        <w:rPr>
          <w:rStyle w:val="legds"/>
          <w:rFonts w:ascii="Arial" w:hAnsi="Arial" w:cs="Arial"/>
        </w:rPr>
        <w:t>;</w:t>
      </w:r>
    </w:p>
    <w:p w14:paraId="30F42394" w14:textId="77777777" w:rsidR="00445F9C" w:rsidRDefault="00445F9C" w:rsidP="00445F9C">
      <w:pPr>
        <w:pStyle w:val="legclearfix"/>
        <w:numPr>
          <w:ilvl w:val="0"/>
          <w:numId w:val="7"/>
        </w:numPr>
        <w:shd w:val="clear" w:color="auto" w:fill="FFFFFF"/>
        <w:spacing w:before="0" w:beforeAutospacing="0" w:after="120" w:afterAutospacing="0" w:line="360" w:lineRule="atLeast"/>
        <w:ind w:hanging="720"/>
        <w:rPr>
          <w:rFonts w:ascii="Arial" w:hAnsi="Arial" w:cs="Arial"/>
        </w:rPr>
      </w:pPr>
      <w:r w:rsidRPr="007D572A">
        <w:rPr>
          <w:rStyle w:val="legds"/>
          <w:rFonts w:ascii="Arial" w:hAnsi="Arial" w:cs="Arial"/>
        </w:rPr>
        <w:lastRenderedPageBreak/>
        <w:t>an OGL parking contravention consisting of an offence referred to in paragraph 4(2)(</w:t>
      </w:r>
      <w:proofErr w:type="spellStart"/>
      <w:r w:rsidRPr="007D572A">
        <w:rPr>
          <w:rStyle w:val="legds"/>
          <w:rFonts w:ascii="Arial" w:hAnsi="Arial" w:cs="Arial"/>
        </w:rPr>
        <w:t>ba</w:t>
      </w:r>
      <w:proofErr w:type="spellEnd"/>
      <w:r w:rsidRPr="007D572A">
        <w:rPr>
          <w:rStyle w:val="legds"/>
          <w:rFonts w:ascii="Arial" w:hAnsi="Arial" w:cs="Arial"/>
        </w:rPr>
        <w:t>) of Schedule 7 to the TMA 2004 (pedestrian crossing contraventions);</w:t>
      </w:r>
    </w:p>
    <w:p w14:paraId="76603C57" w14:textId="77777777" w:rsidR="00445F9C" w:rsidRDefault="00445F9C" w:rsidP="00445F9C">
      <w:pPr>
        <w:pStyle w:val="legclearfix"/>
        <w:numPr>
          <w:ilvl w:val="0"/>
          <w:numId w:val="7"/>
        </w:numPr>
        <w:shd w:val="clear" w:color="auto" w:fill="FFFFFF"/>
        <w:spacing w:before="0" w:beforeAutospacing="0" w:after="120" w:afterAutospacing="0" w:line="360" w:lineRule="atLeast"/>
        <w:ind w:hanging="720"/>
        <w:rPr>
          <w:rFonts w:ascii="Arial" w:hAnsi="Arial" w:cs="Arial"/>
        </w:rPr>
      </w:pPr>
      <w:r w:rsidRPr="007D572A">
        <w:rPr>
          <w:rStyle w:val="legds"/>
          <w:rFonts w:ascii="Arial" w:hAnsi="Arial" w:cs="Arial"/>
        </w:rPr>
        <w:t>a</w:t>
      </w:r>
      <w:r>
        <w:rPr>
          <w:rStyle w:val="legds"/>
          <w:rFonts w:ascii="Arial" w:hAnsi="Arial" w:cs="Arial"/>
        </w:rPr>
        <w:t>n</w:t>
      </w:r>
      <w:r w:rsidRPr="007D572A">
        <w:rPr>
          <w:rStyle w:val="legds"/>
          <w:rFonts w:ascii="Arial" w:hAnsi="Arial" w:cs="Arial"/>
        </w:rPr>
        <w:t xml:space="preserve"> OGL parking contravention involving an offence of the kind referred to in paragraph 4(2)(d) of Schedule 7 to the TMA 2004 (offence in connection with parking places) relating to an off-street parking place and consisting of any of the following where prohibited by an order relating to the parking place—</w:t>
      </w:r>
    </w:p>
    <w:p w14:paraId="68405F44" w14:textId="77777777" w:rsidR="00445F9C" w:rsidRDefault="00445F9C" w:rsidP="00445F9C">
      <w:pPr>
        <w:pStyle w:val="legclearfix"/>
        <w:numPr>
          <w:ilvl w:val="1"/>
          <w:numId w:val="7"/>
        </w:numPr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</w:rPr>
      </w:pPr>
      <w:r w:rsidRPr="007D572A">
        <w:rPr>
          <w:rStyle w:val="legds"/>
          <w:rFonts w:ascii="Arial" w:hAnsi="Arial" w:cs="Arial"/>
        </w:rPr>
        <w:t>using a vehicle in connection with the sale of goods or the offering or exposure of goods for sale;</w:t>
      </w:r>
    </w:p>
    <w:p w14:paraId="5E22FA9B" w14:textId="77777777" w:rsidR="00445F9C" w:rsidRDefault="00445F9C" w:rsidP="00445F9C">
      <w:pPr>
        <w:pStyle w:val="legclearfix"/>
        <w:numPr>
          <w:ilvl w:val="1"/>
          <w:numId w:val="7"/>
        </w:numPr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</w:rPr>
      </w:pPr>
      <w:r w:rsidRPr="007D572A">
        <w:rPr>
          <w:rStyle w:val="legds"/>
          <w:rFonts w:ascii="Arial" w:hAnsi="Arial" w:cs="Arial"/>
        </w:rPr>
        <w:t>parking in a restricted area;</w:t>
      </w:r>
    </w:p>
    <w:p w14:paraId="3EABC765" w14:textId="77777777" w:rsidR="00445F9C" w:rsidRDefault="00445F9C" w:rsidP="00445F9C">
      <w:pPr>
        <w:pStyle w:val="legclearfix"/>
        <w:numPr>
          <w:ilvl w:val="1"/>
          <w:numId w:val="7"/>
        </w:numPr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</w:rPr>
      </w:pPr>
      <w:r w:rsidRPr="007D572A">
        <w:rPr>
          <w:rStyle w:val="legds"/>
          <w:rFonts w:ascii="Arial" w:hAnsi="Arial" w:cs="Arial"/>
        </w:rPr>
        <w:t>parking in a permit bay without displaying a permit;</w:t>
      </w:r>
    </w:p>
    <w:p w14:paraId="60BAFC96" w14:textId="77777777" w:rsidR="00445F9C" w:rsidRDefault="00445F9C" w:rsidP="00445F9C">
      <w:pPr>
        <w:pStyle w:val="legclearfix"/>
        <w:numPr>
          <w:ilvl w:val="1"/>
          <w:numId w:val="7"/>
        </w:numPr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</w:rPr>
      </w:pPr>
      <w:r w:rsidRPr="007D572A">
        <w:rPr>
          <w:rStyle w:val="legds"/>
          <w:rFonts w:ascii="Arial" w:hAnsi="Arial" w:cs="Arial"/>
        </w:rPr>
        <w:t>parking in a disabled person’s parking place without correctly displaying a valid disabled person’s badge;</w:t>
      </w:r>
    </w:p>
    <w:p w14:paraId="46ADCAD8" w14:textId="77777777" w:rsidR="00445F9C" w:rsidRDefault="00445F9C" w:rsidP="00445F9C">
      <w:pPr>
        <w:pStyle w:val="legclearfix"/>
        <w:numPr>
          <w:ilvl w:val="1"/>
          <w:numId w:val="7"/>
        </w:numPr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</w:rPr>
      </w:pPr>
      <w:r w:rsidRPr="007D572A">
        <w:rPr>
          <w:rStyle w:val="legds"/>
          <w:rFonts w:ascii="Arial" w:hAnsi="Arial" w:cs="Arial"/>
        </w:rPr>
        <w:t>parking a vehicle in a place where the vehicle does not fall within the class of vehicle permitted to park in that place;</w:t>
      </w:r>
    </w:p>
    <w:p w14:paraId="28FE0A2F" w14:textId="77777777" w:rsidR="00445F9C" w:rsidRDefault="00445F9C" w:rsidP="00445F9C">
      <w:pPr>
        <w:pStyle w:val="legclearfix"/>
        <w:numPr>
          <w:ilvl w:val="0"/>
          <w:numId w:val="7"/>
        </w:numPr>
        <w:shd w:val="clear" w:color="auto" w:fill="FFFFFF"/>
        <w:spacing w:before="0" w:beforeAutospacing="0" w:after="120" w:afterAutospacing="0" w:line="360" w:lineRule="atLeast"/>
        <w:ind w:hanging="720"/>
        <w:rPr>
          <w:rFonts w:ascii="Arial" w:hAnsi="Arial" w:cs="Arial"/>
        </w:rPr>
      </w:pPr>
      <w:r w:rsidRPr="007D572A">
        <w:rPr>
          <w:rStyle w:val="legds"/>
          <w:rFonts w:ascii="Arial" w:hAnsi="Arial" w:cs="Arial"/>
        </w:rPr>
        <w:t>an OGL parking contravention consisting of an offence of the kind referred to in paragraph 4(2)(e) of Schedule 7 to the TMA 2004 (parking in loading areas);</w:t>
      </w:r>
    </w:p>
    <w:p w14:paraId="3CAAE0DF" w14:textId="77777777" w:rsidR="00445F9C" w:rsidRDefault="00445F9C" w:rsidP="00445F9C">
      <w:pPr>
        <w:pStyle w:val="legclearfix"/>
        <w:numPr>
          <w:ilvl w:val="0"/>
          <w:numId w:val="7"/>
        </w:numPr>
        <w:shd w:val="clear" w:color="auto" w:fill="FFFFFF"/>
        <w:spacing w:before="0" w:beforeAutospacing="0" w:after="120" w:afterAutospacing="0" w:line="360" w:lineRule="atLeast"/>
        <w:ind w:hanging="720"/>
        <w:rPr>
          <w:rFonts w:ascii="Arial" w:hAnsi="Arial" w:cs="Arial"/>
        </w:rPr>
      </w:pPr>
      <w:r w:rsidRPr="007D572A">
        <w:rPr>
          <w:rStyle w:val="legds"/>
          <w:rFonts w:ascii="Arial" w:hAnsi="Arial" w:cs="Arial"/>
        </w:rPr>
        <w:t>an OGL parking contravention consisting of an offence of the kind referred to in paragraph 4(2)(g) of Schedule 7 to the TMA 2004 (parking of HGVs on verges, central reservations or footways);</w:t>
      </w:r>
    </w:p>
    <w:p w14:paraId="4907BFBB" w14:textId="77777777" w:rsidR="00445F9C" w:rsidRDefault="00445F9C" w:rsidP="00445F9C">
      <w:pPr>
        <w:pStyle w:val="legclearfix"/>
        <w:numPr>
          <w:ilvl w:val="0"/>
          <w:numId w:val="7"/>
        </w:numPr>
        <w:shd w:val="clear" w:color="auto" w:fill="FFFFFF"/>
        <w:spacing w:before="0" w:beforeAutospacing="0" w:after="120" w:afterAutospacing="0" w:line="360" w:lineRule="atLeast"/>
        <w:ind w:hanging="720"/>
        <w:rPr>
          <w:rFonts w:ascii="Arial" w:hAnsi="Arial" w:cs="Arial"/>
        </w:rPr>
      </w:pPr>
      <w:r w:rsidRPr="007D572A">
        <w:rPr>
          <w:rStyle w:val="legds"/>
          <w:rFonts w:ascii="Arial" w:hAnsi="Arial" w:cs="Arial"/>
        </w:rPr>
        <w:t>an OGL parking contravention consisting of the commission of an offence of the kind referred to in paragraph 4(2)(h) of Schedule 7 to the TMA 2004 (offences relating to cycle tracks);</w:t>
      </w:r>
    </w:p>
    <w:p w14:paraId="259AC4BA" w14:textId="5399D5B6" w:rsidR="00445F9C" w:rsidRDefault="00445F9C" w:rsidP="00445F9C">
      <w:pPr>
        <w:pStyle w:val="legclearfix"/>
        <w:numPr>
          <w:ilvl w:val="0"/>
          <w:numId w:val="7"/>
        </w:numPr>
        <w:shd w:val="clear" w:color="auto" w:fill="FFFFFF"/>
        <w:spacing w:before="0" w:beforeAutospacing="0" w:after="120" w:afterAutospacing="0" w:line="360" w:lineRule="atLeast"/>
        <w:ind w:hanging="720"/>
        <w:rPr>
          <w:rStyle w:val="legds"/>
          <w:rFonts w:ascii="Arial" w:hAnsi="Arial" w:cs="Arial"/>
        </w:rPr>
      </w:pPr>
      <w:r w:rsidRPr="007D572A">
        <w:rPr>
          <w:rStyle w:val="legds"/>
          <w:rFonts w:ascii="Arial" w:hAnsi="Arial" w:cs="Arial"/>
        </w:rPr>
        <w:t>an OGL parking contravention consisting of an offence of the kind referred to in paragraph 4(2)(ha) of Schedule 7 to the TMA 2004 (bus stop or bus stand markings);</w:t>
      </w:r>
    </w:p>
    <w:p w14:paraId="4FA8994F" w14:textId="01FE5482" w:rsidR="00445F9C" w:rsidRDefault="00445F9C" w:rsidP="007D572A">
      <w:pPr>
        <w:pStyle w:val="legclearfix"/>
        <w:shd w:val="clear" w:color="auto" w:fill="FFFFFF"/>
        <w:spacing w:before="0" w:beforeAutospacing="0" w:after="120" w:afterAutospacing="0" w:line="360" w:lineRule="atLeast"/>
        <w:rPr>
          <w:rStyle w:val="legds"/>
          <w:rFonts w:ascii="Arial" w:hAnsi="Arial" w:cs="Arial"/>
        </w:rPr>
      </w:pPr>
      <w:r>
        <w:rPr>
          <w:rStyle w:val="legds"/>
          <w:rFonts w:ascii="Arial" w:hAnsi="Arial" w:cs="Arial"/>
        </w:rPr>
        <w:t>All other contraventions are classed as lower level contraventions.</w:t>
      </w:r>
    </w:p>
    <w:p w14:paraId="0924A5F1" w14:textId="1D760490" w:rsidR="00445F9C" w:rsidRPr="007D572A" w:rsidRDefault="00445F9C">
      <w:pPr>
        <w:pStyle w:val="legclearfix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</w:rPr>
      </w:pPr>
      <w:r>
        <w:rPr>
          <w:rStyle w:val="legds"/>
          <w:rFonts w:ascii="Arial" w:hAnsi="Arial" w:cs="Arial"/>
        </w:rPr>
        <w:t>(Contraventions relating to bus lane enforcement and enforcement of moving traffic contraventions have not been replicated in this list.)</w:t>
      </w:r>
    </w:p>
    <w:p w14:paraId="0383A22A" w14:textId="77777777" w:rsidR="004334D6" w:rsidRPr="00AC70DE" w:rsidRDefault="004334D6" w:rsidP="00AC70DE"/>
    <w:p w14:paraId="6BF0E6D1" w14:textId="77777777" w:rsidR="004334D6" w:rsidRDefault="004334D6" w:rsidP="002A33E8">
      <w:r>
        <w:t xml:space="preserve">Please note that the contravention codes and descriptions shown above are only those contraventions which are applicable to Civil Parking Enforcement in </w:t>
      </w:r>
      <w:smartTag w:uri="urn:schemas-microsoft-com:office:smarttags" w:element="place">
        <w:r>
          <w:t>Newcastle-upon-Tyne</w:t>
        </w:r>
      </w:smartTag>
      <w:r>
        <w:t xml:space="preserve">. </w:t>
      </w:r>
    </w:p>
    <w:p w14:paraId="13D3DDA9" w14:textId="77777777" w:rsidR="004334D6" w:rsidRDefault="004334D6" w:rsidP="002A33E8"/>
    <w:p w14:paraId="41EB4814" w14:textId="77777777" w:rsidR="004334D6" w:rsidRDefault="004334D6" w:rsidP="002A33E8">
      <w:r>
        <w:t xml:space="preserve">There are other contraventions and codes which exist but are not applicable in </w:t>
      </w:r>
      <w:smartTag w:uri="urn:schemas-microsoft-com:office:smarttags" w:element="place">
        <w:r>
          <w:t>Newcastle</w:t>
        </w:r>
      </w:smartTag>
      <w:r>
        <w:t xml:space="preserve"> as the particular type of bay is not available in </w:t>
      </w:r>
      <w:smartTag w:uri="urn:schemas-microsoft-com:office:smarttags" w:element="place">
        <w:r>
          <w:t>Newcastle</w:t>
        </w:r>
      </w:smartTag>
      <w:r>
        <w:t xml:space="preserve">. </w:t>
      </w:r>
    </w:p>
    <w:p w14:paraId="7A38FD21" w14:textId="77777777" w:rsidR="004334D6" w:rsidRDefault="004334D6" w:rsidP="002A33E8"/>
    <w:p w14:paraId="7753E155" w14:textId="77777777" w:rsidR="004334D6" w:rsidRDefault="004334D6" w:rsidP="002A33E8"/>
    <w:p w14:paraId="67F86DF1" w14:textId="6AEEC144" w:rsidR="004334D6" w:rsidRDefault="004334D6" w:rsidP="002A33E8">
      <w:r>
        <w:t xml:space="preserve">For the full list of higher level contraventions, please consult </w:t>
      </w:r>
      <w:r w:rsidR="00445F9C">
        <w:t xml:space="preserve">Schedule 3 of </w:t>
      </w:r>
      <w:r w:rsidR="00F0109A" w:rsidRPr="007D572A">
        <w:rPr>
          <w:color w:val="000000" w:themeColor="text1"/>
        </w:rPr>
        <w:t>The Civil Enforcement of Road Traffic Contraventions (Approved Devices, Charging Guidelines and General Provisions) (England) Regulations</w:t>
      </w:r>
      <w:r w:rsidR="00445F9C">
        <w:rPr>
          <w:color w:val="000000" w:themeColor="text1"/>
        </w:rPr>
        <w:t xml:space="preserve"> 2022</w:t>
      </w:r>
      <w:r w:rsidR="005C5019">
        <w:rPr>
          <w:color w:val="000000" w:themeColor="text1"/>
        </w:rPr>
        <w:t>.</w:t>
      </w:r>
      <w:r>
        <w:t xml:space="preserve"> </w:t>
      </w:r>
    </w:p>
    <w:p w14:paraId="409E9E54" w14:textId="77777777" w:rsidR="004334D6" w:rsidRDefault="004334D6" w:rsidP="002A33E8"/>
    <w:p w14:paraId="70B2AF0D" w14:textId="77777777" w:rsidR="004334D6" w:rsidRPr="00AC70DE" w:rsidRDefault="004334D6" w:rsidP="00AC70DE"/>
    <w:p w14:paraId="11F27345" w14:textId="77777777" w:rsidR="004334D6" w:rsidRPr="00AC70DE" w:rsidRDefault="004334D6" w:rsidP="00AC70DE"/>
    <w:p w14:paraId="1D3CE720" w14:textId="77777777" w:rsidR="004334D6" w:rsidRPr="00AC70DE" w:rsidRDefault="004334D6" w:rsidP="00AC70DE"/>
    <w:p w14:paraId="447B6DEC" w14:textId="77777777" w:rsidR="004334D6" w:rsidRPr="00AC70DE" w:rsidRDefault="004334D6" w:rsidP="00AC70DE"/>
    <w:p w14:paraId="4E34D285" w14:textId="77777777" w:rsidR="004334D6" w:rsidRPr="00AC70DE" w:rsidRDefault="004334D6" w:rsidP="00AC70DE"/>
    <w:p w14:paraId="5B7D25B6" w14:textId="77777777" w:rsidR="004334D6" w:rsidRPr="00AC70DE" w:rsidRDefault="004334D6" w:rsidP="00AC70DE">
      <w:pPr>
        <w:jc w:val="center"/>
      </w:pPr>
    </w:p>
    <w:sectPr w:rsidR="004334D6" w:rsidRPr="00AC70DE" w:rsidSect="00651D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A2E67" w14:textId="77777777" w:rsidR="004334D6" w:rsidRDefault="004334D6">
      <w:r>
        <w:separator/>
      </w:r>
    </w:p>
  </w:endnote>
  <w:endnote w:type="continuationSeparator" w:id="0">
    <w:p w14:paraId="040CDE3B" w14:textId="77777777" w:rsidR="004334D6" w:rsidRDefault="00433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21D7C" w14:textId="77777777" w:rsidR="004334D6" w:rsidRDefault="004334D6" w:rsidP="00651D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E20CA4" w14:textId="77777777" w:rsidR="004334D6" w:rsidRDefault="004334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58D1" w14:textId="77777777" w:rsidR="004334D6" w:rsidRDefault="004334D6" w:rsidP="001032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9833" w14:textId="77777777" w:rsidR="004334D6" w:rsidRDefault="004334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C9872" w14:textId="77777777" w:rsidR="004334D6" w:rsidRDefault="004334D6">
      <w:r>
        <w:separator/>
      </w:r>
    </w:p>
  </w:footnote>
  <w:footnote w:type="continuationSeparator" w:id="0">
    <w:p w14:paraId="09939B75" w14:textId="77777777" w:rsidR="004334D6" w:rsidRDefault="004334D6">
      <w:r>
        <w:continuationSeparator/>
      </w:r>
    </w:p>
  </w:footnote>
  <w:footnote w:id="1">
    <w:p w14:paraId="3134C571" w14:textId="4F895115" w:rsidR="005C5019" w:rsidRPr="005C5019" w:rsidRDefault="005C5019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Appendix C – 31 May 2022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D3ACC" w14:textId="77777777" w:rsidR="004334D6" w:rsidRDefault="004334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FE141" w14:textId="77777777" w:rsidR="004334D6" w:rsidRPr="002C3E24" w:rsidRDefault="004334D6" w:rsidP="002C3E24">
    <w:pPr>
      <w:pStyle w:val="Header"/>
      <w:jc w:val="center"/>
      <w:rPr>
        <w:b/>
      </w:rPr>
    </w:pPr>
    <w:r w:rsidRPr="002C3E24">
      <w:rPr>
        <w:b/>
      </w:rPr>
      <w:t>Appendix 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50D3B" w14:textId="77777777" w:rsidR="004334D6" w:rsidRDefault="004334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7BA2"/>
    <w:multiLevelType w:val="hybridMultilevel"/>
    <w:tmpl w:val="35521736"/>
    <w:lvl w:ilvl="0" w:tplc="98C2C4F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43B37"/>
    <w:multiLevelType w:val="hybridMultilevel"/>
    <w:tmpl w:val="7892F1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70DBE"/>
    <w:multiLevelType w:val="hybridMultilevel"/>
    <w:tmpl w:val="AB3CB1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177A0"/>
    <w:multiLevelType w:val="hybridMultilevel"/>
    <w:tmpl w:val="FF04D0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E58D7"/>
    <w:multiLevelType w:val="hybridMultilevel"/>
    <w:tmpl w:val="E1121D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A06FE"/>
    <w:multiLevelType w:val="hybridMultilevel"/>
    <w:tmpl w:val="DCD8E4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611DD"/>
    <w:multiLevelType w:val="hybridMultilevel"/>
    <w:tmpl w:val="028020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7209A"/>
    <w:multiLevelType w:val="hybridMultilevel"/>
    <w:tmpl w:val="C8225E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D56E9"/>
    <w:multiLevelType w:val="hybridMultilevel"/>
    <w:tmpl w:val="D5327C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91E4EF3"/>
    <w:multiLevelType w:val="hybridMultilevel"/>
    <w:tmpl w:val="E668A0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9D7"/>
    <w:rsid w:val="00001582"/>
    <w:rsid w:val="00023DC0"/>
    <w:rsid w:val="00054448"/>
    <w:rsid w:val="00072AA0"/>
    <w:rsid w:val="000A01FF"/>
    <w:rsid w:val="000C7D4F"/>
    <w:rsid w:val="000D0A2E"/>
    <w:rsid w:val="000F1743"/>
    <w:rsid w:val="001032C3"/>
    <w:rsid w:val="00117118"/>
    <w:rsid w:val="00143E5B"/>
    <w:rsid w:val="001B2A47"/>
    <w:rsid w:val="001E7F65"/>
    <w:rsid w:val="001F31C7"/>
    <w:rsid w:val="0020498D"/>
    <w:rsid w:val="00206201"/>
    <w:rsid w:val="002112E7"/>
    <w:rsid w:val="0025078B"/>
    <w:rsid w:val="002920A0"/>
    <w:rsid w:val="00292858"/>
    <w:rsid w:val="002A33E8"/>
    <w:rsid w:val="002C3E24"/>
    <w:rsid w:val="002D3547"/>
    <w:rsid w:val="00301256"/>
    <w:rsid w:val="00304FD2"/>
    <w:rsid w:val="00321C4A"/>
    <w:rsid w:val="00342A52"/>
    <w:rsid w:val="00353BDC"/>
    <w:rsid w:val="00353D29"/>
    <w:rsid w:val="00363A38"/>
    <w:rsid w:val="00365A9C"/>
    <w:rsid w:val="003846B1"/>
    <w:rsid w:val="003A6A74"/>
    <w:rsid w:val="003C075E"/>
    <w:rsid w:val="00410A3D"/>
    <w:rsid w:val="004334D6"/>
    <w:rsid w:val="0043798D"/>
    <w:rsid w:val="00445F9C"/>
    <w:rsid w:val="00446EF2"/>
    <w:rsid w:val="004522D3"/>
    <w:rsid w:val="00465109"/>
    <w:rsid w:val="00473F08"/>
    <w:rsid w:val="004A626D"/>
    <w:rsid w:val="004C4111"/>
    <w:rsid w:val="004D39AB"/>
    <w:rsid w:val="004E63A7"/>
    <w:rsid w:val="004E6F58"/>
    <w:rsid w:val="00530B61"/>
    <w:rsid w:val="005362A7"/>
    <w:rsid w:val="0054362B"/>
    <w:rsid w:val="00544D2C"/>
    <w:rsid w:val="0056245F"/>
    <w:rsid w:val="0057536B"/>
    <w:rsid w:val="00577DD4"/>
    <w:rsid w:val="00595AA3"/>
    <w:rsid w:val="005A331A"/>
    <w:rsid w:val="005C5019"/>
    <w:rsid w:val="005E659C"/>
    <w:rsid w:val="006026FE"/>
    <w:rsid w:val="00604D88"/>
    <w:rsid w:val="00610017"/>
    <w:rsid w:val="006471A9"/>
    <w:rsid w:val="00651D2A"/>
    <w:rsid w:val="006533F8"/>
    <w:rsid w:val="0068102B"/>
    <w:rsid w:val="006D5A8A"/>
    <w:rsid w:val="0070375B"/>
    <w:rsid w:val="00753DB3"/>
    <w:rsid w:val="0075477F"/>
    <w:rsid w:val="007D572A"/>
    <w:rsid w:val="007D7010"/>
    <w:rsid w:val="007D75E4"/>
    <w:rsid w:val="007D7CD6"/>
    <w:rsid w:val="00805804"/>
    <w:rsid w:val="0082425E"/>
    <w:rsid w:val="008910B0"/>
    <w:rsid w:val="008C3376"/>
    <w:rsid w:val="008E2B61"/>
    <w:rsid w:val="008E7A8E"/>
    <w:rsid w:val="008F04EF"/>
    <w:rsid w:val="008F60CC"/>
    <w:rsid w:val="009001A8"/>
    <w:rsid w:val="00914F69"/>
    <w:rsid w:val="00925803"/>
    <w:rsid w:val="00945AA6"/>
    <w:rsid w:val="009650FF"/>
    <w:rsid w:val="009731FE"/>
    <w:rsid w:val="0099478C"/>
    <w:rsid w:val="009E31FE"/>
    <w:rsid w:val="00A410BF"/>
    <w:rsid w:val="00A53508"/>
    <w:rsid w:val="00A56013"/>
    <w:rsid w:val="00A930D8"/>
    <w:rsid w:val="00A9422F"/>
    <w:rsid w:val="00AC70DE"/>
    <w:rsid w:val="00AD1480"/>
    <w:rsid w:val="00AE4979"/>
    <w:rsid w:val="00AE4AF2"/>
    <w:rsid w:val="00AF3A63"/>
    <w:rsid w:val="00B078AC"/>
    <w:rsid w:val="00B257DA"/>
    <w:rsid w:val="00B80FA4"/>
    <w:rsid w:val="00BB019A"/>
    <w:rsid w:val="00C70A4B"/>
    <w:rsid w:val="00C93FD2"/>
    <w:rsid w:val="00C94C16"/>
    <w:rsid w:val="00CC1B15"/>
    <w:rsid w:val="00CC6826"/>
    <w:rsid w:val="00CE64AB"/>
    <w:rsid w:val="00D02314"/>
    <w:rsid w:val="00D238FF"/>
    <w:rsid w:val="00D907C8"/>
    <w:rsid w:val="00DA38E8"/>
    <w:rsid w:val="00DB58F8"/>
    <w:rsid w:val="00DB77B6"/>
    <w:rsid w:val="00E1319E"/>
    <w:rsid w:val="00E35D96"/>
    <w:rsid w:val="00E774E6"/>
    <w:rsid w:val="00E846F7"/>
    <w:rsid w:val="00E8518A"/>
    <w:rsid w:val="00E859D7"/>
    <w:rsid w:val="00EC1CAB"/>
    <w:rsid w:val="00EE1830"/>
    <w:rsid w:val="00F0109A"/>
    <w:rsid w:val="00F24BCC"/>
    <w:rsid w:val="00F312BC"/>
    <w:rsid w:val="00F4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AF5BEB9"/>
  <w15:docId w15:val="{2BCE565B-C966-42F8-B6E1-50DDD894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803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580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5803"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05804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05804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925803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805804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ColumnHeader">
    <w:name w:val="ColumnHeader"/>
    <w:basedOn w:val="Normal"/>
    <w:uiPriority w:val="99"/>
    <w:rsid w:val="008E7A8E"/>
    <w:pPr>
      <w:spacing w:before="40" w:line="220" w:lineRule="atLeast"/>
      <w:jc w:val="both"/>
    </w:pPr>
    <w:rPr>
      <w:rFonts w:ascii="Times New Roman" w:hAnsi="Times New Roman"/>
      <w:i/>
      <w:sz w:val="21"/>
      <w:szCs w:val="20"/>
      <w:lang w:val="en-GB"/>
    </w:rPr>
  </w:style>
  <w:style w:type="paragraph" w:customStyle="1" w:styleId="TableText">
    <w:name w:val="TableText"/>
    <w:basedOn w:val="Normal"/>
    <w:uiPriority w:val="99"/>
    <w:rsid w:val="008E7A8E"/>
    <w:pPr>
      <w:spacing w:before="20" w:line="220" w:lineRule="atLeast"/>
    </w:pPr>
    <w:rPr>
      <w:rFonts w:ascii="Times New Roman" w:hAnsi="Times New Roman"/>
      <w:sz w:val="21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4A62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5804"/>
    <w:rPr>
      <w:rFonts w:ascii="Arial" w:hAnsi="Arial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A62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5804"/>
    <w:rPr>
      <w:rFonts w:ascii="Arial" w:hAnsi="Arial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DA38E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1032C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30B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5804"/>
    <w:rPr>
      <w:rFonts w:cs="Times New Roman"/>
      <w:sz w:val="2"/>
      <w:lang w:val="en-US" w:eastAsia="en-US"/>
    </w:rPr>
  </w:style>
  <w:style w:type="character" w:styleId="Hyperlink">
    <w:name w:val="Hyperlink"/>
    <w:basedOn w:val="DefaultParagraphFont"/>
    <w:uiPriority w:val="99"/>
    <w:rsid w:val="002A33E8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321C4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05804"/>
    <w:rPr>
      <w:rFonts w:cs="Times New Roman"/>
      <w:sz w:val="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0109A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501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5019"/>
    <w:rPr>
      <w:rFonts w:ascii="Arial" w:hAnsi="Arial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C5019"/>
    <w:rPr>
      <w:vertAlign w:val="superscript"/>
    </w:rPr>
  </w:style>
  <w:style w:type="paragraph" w:customStyle="1" w:styleId="legclearfix">
    <w:name w:val="legclearfix"/>
    <w:basedOn w:val="Normal"/>
    <w:rsid w:val="00445F9C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character" w:customStyle="1" w:styleId="legds">
    <w:name w:val="legds"/>
    <w:basedOn w:val="DefaultParagraphFont"/>
    <w:rsid w:val="00445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9AC25-AF4F-4B1A-93D8-4C395DB9F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872</Words>
  <Characters>4561</Characters>
  <Application>Microsoft Office Word</Application>
  <DocSecurity>0</DocSecurity>
  <Lines>38</Lines>
  <Paragraphs>10</Paragraphs>
  <ScaleCrop>false</ScaleCrop>
  <Company>home</Company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TMA STEERING GROUP</dc:title>
  <dc:subject/>
  <dc:creator>home</dc:creator>
  <cp:keywords/>
  <dc:description/>
  <cp:lastModifiedBy>Powling, Sean</cp:lastModifiedBy>
  <cp:revision>2</cp:revision>
  <cp:lastPrinted>2008-06-18T09:37:00Z</cp:lastPrinted>
  <dcterms:created xsi:type="dcterms:W3CDTF">2022-07-19T12:32:00Z</dcterms:created>
  <dcterms:modified xsi:type="dcterms:W3CDTF">2022-07-19T12:32:00Z</dcterms:modified>
</cp:coreProperties>
</file>