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A70B01" w:rsidR="00F24CF5" w:rsidP="00BC57ED" w:rsidRDefault="0012104C" w14:paraId="3F6991F7" w14:textId="6DCAE1A6">
      <w:pPr>
        <w:pStyle w:val="Heading3"/>
        <w:spacing w:before="100" w:beforeAutospacing="1" w:line="276" w:lineRule="auto"/>
        <w:ind w:left="-794"/>
        <w:jc w:val="both"/>
        <w:rPr>
          <w:sz w:val="32"/>
          <w:szCs w:val="32"/>
        </w:rPr>
      </w:pPr>
      <w:r>
        <w:rPr>
          <w:color w:val="auto"/>
          <w:sz w:val="32"/>
          <w:szCs w:val="32"/>
        </w:rPr>
        <w:br/>
      </w:r>
      <w:r w:rsidRPr="002303CE" w:rsidR="004D3400">
        <w:rPr>
          <w:noProof/>
          <w:color w:val="auto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65A39F0" wp14:editId="236B47AB">
            <wp:simplePos x="0" y="0"/>
            <wp:positionH relativeFrom="column">
              <wp:posOffset>4261763</wp:posOffset>
            </wp:positionH>
            <wp:positionV relativeFrom="paragraph">
              <wp:posOffset>-733513</wp:posOffset>
            </wp:positionV>
            <wp:extent cx="2160000" cy="525600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6DF" w:rsidR="00563385">
        <w:rPr>
          <w:noProof/>
          <w:color w:val="auto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3ED722" wp14:editId="1A588D50">
                <wp:simplePos x="0" y="0"/>
                <wp:positionH relativeFrom="page">
                  <wp:posOffset>17671</wp:posOffset>
                </wp:positionH>
                <wp:positionV relativeFrom="topMargin">
                  <wp:posOffset>609600</wp:posOffset>
                </wp:positionV>
                <wp:extent cx="750570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41F0" w:rsidR="009B3746" w:rsidP="00CC4493" w:rsidRDefault="00586099" w14:paraId="2267FD00" w14:textId="3AF1AD9C">
                            <w:pPr>
                              <w:pStyle w:val="Heading1"/>
                              <w:rPr>
                                <w:sz w:val="48"/>
                                <w:szCs w:val="48"/>
                              </w:rPr>
                            </w:pPr>
                            <w:r w:rsidRPr="0027569F">
                              <w:rPr>
                                <w:sz w:val="48"/>
                                <w:szCs w:val="48"/>
                              </w:rPr>
                              <w:t>Learning Disabilities &amp; Autism</w:t>
                            </w:r>
                            <w:r w:rsidR="001C5058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 w:rsidRPr="003F5DE1" w:rsidR="009B3746">
                              <w:rPr>
                                <w:b w:val="0"/>
                                <w:bCs w:val="0"/>
                                <w:color w:val="auto"/>
                                <w:sz w:val="40"/>
                                <w:szCs w:val="40"/>
                              </w:rPr>
                              <w:t>Market Position Statement</w:t>
                            </w:r>
                          </w:p>
                          <w:p w:rsidR="009B3746" w:rsidRDefault="009B3746" w14:paraId="5D1B9430" w14:textId="271F02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DA9B43">
              <v:shapetype id="_x0000_t202" coordsize="21600,21600" o:spt="202" path="m,l,21600r21600,l21600,xe" w14:anchorId="1A3ED722">
                <v:stroke joinstyle="miter"/>
                <v:path gradientshapeok="t" o:connecttype="rect"/>
              </v:shapetype>
              <v:shape id="Text Box 2" style="position:absolute;left:0;text-align:left;margin-left:1.4pt;margin-top:48pt;width:591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spid="_x0000_s1026" fillcolor="white [321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">
                <v:textbox>
                  <w:txbxContent>
                    <w:p w:rsidRPr="007241F0" w:rsidR="009B3746" w:rsidP="00CC4493" w:rsidRDefault="00586099" w14:paraId="210C36EF" w14:textId="3AF1AD9C">
                      <w:pPr>
                        <w:pStyle w:val="Heading1"/>
                        <w:rPr>
                          <w:sz w:val="48"/>
                          <w:szCs w:val="48"/>
                        </w:rPr>
                      </w:pPr>
                      <w:r w:rsidRPr="0027569F">
                        <w:rPr>
                          <w:sz w:val="48"/>
                          <w:szCs w:val="48"/>
                        </w:rPr>
                        <w:t>Learning Disabilities &amp; Autism</w:t>
                      </w:r>
                      <w:r w:rsidR="001C5058">
                        <w:rPr>
                          <w:sz w:val="48"/>
                          <w:szCs w:val="48"/>
                        </w:rPr>
                        <w:br/>
                      </w:r>
                      <w:r w:rsidRPr="003F5DE1" w:rsidR="009B3746">
                        <w:rPr>
                          <w:b w:val="0"/>
                          <w:bCs w:val="0"/>
                          <w:color w:val="auto"/>
                          <w:sz w:val="40"/>
                          <w:szCs w:val="40"/>
                        </w:rPr>
                        <w:t>Market Position Statement</w:t>
                      </w:r>
                    </w:p>
                    <w:p w:rsidR="009B3746" w:rsidRDefault="009B3746" w14:paraId="672A6659" w14:textId="271F0289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563385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37A9D" wp14:editId="0E8FDD6D">
                <wp:simplePos x="0" y="0"/>
                <wp:positionH relativeFrom="column">
                  <wp:posOffset>-897255</wp:posOffset>
                </wp:positionH>
                <wp:positionV relativeFrom="paragraph">
                  <wp:posOffset>863753</wp:posOffset>
                </wp:positionV>
                <wp:extent cx="74926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2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2D3E1E3">
              <v:line id="Straight Connector 1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f81bd [3204]" strokeweight=".5pt" from="-70.65pt,68pt" to="519.3pt,68pt" w14:anchorId="10427C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">
                <v:stroke joinstyle="miter"/>
              </v:line>
            </w:pict>
          </mc:Fallback>
        </mc:AlternateContent>
      </w:r>
      <w:r w:rsidRPr="00A70B01" w:rsidR="001616DF">
        <w:rPr>
          <w:color w:val="auto"/>
          <w:sz w:val="32"/>
          <w:szCs w:val="32"/>
        </w:rPr>
        <w:t>Commissioned Services</w:t>
      </w:r>
    </w:p>
    <w:p w:rsidR="00264FF7" w:rsidP="00EC18D8" w:rsidRDefault="00264FF7" w14:paraId="34058D2E" w14:textId="2A96E380">
      <w:pPr>
        <w:spacing w:line="276" w:lineRule="auto"/>
        <w:ind w:left="-794"/>
        <w:jc w:val="left"/>
      </w:pPr>
      <w:r w:rsidR="00264FF7">
        <w:rPr/>
        <w:t>The</w:t>
      </w:r>
      <w:r w:rsidR="00264FF7">
        <w:rPr/>
        <w:t xml:space="preserve"> </w:t>
      </w:r>
      <w:r w:rsidRPr="0101E883" w:rsidR="00264FF7">
        <w:rPr>
          <w:b w:val="1"/>
          <w:bCs w:val="1"/>
        </w:rPr>
        <w:t>Supported Living Framework</w:t>
      </w:r>
      <w:r w:rsidRPr="0101E883" w:rsidR="00031F1F">
        <w:rPr>
          <w:b w:val="1"/>
          <w:bCs w:val="1"/>
        </w:rPr>
        <w:t xml:space="preserve"> </w:t>
      </w:r>
      <w:r w:rsidR="00264FF7">
        <w:rPr/>
        <w:t>is a continuum of support for L</w:t>
      </w:r>
      <w:r w:rsidR="326BCA57">
        <w:rPr/>
        <w:t xml:space="preserve">earning </w:t>
      </w:r>
      <w:r w:rsidR="00264FF7">
        <w:rPr/>
        <w:t>D</w:t>
      </w:r>
      <w:r w:rsidR="1DA59064">
        <w:rPr/>
        <w:t xml:space="preserve">isability and </w:t>
      </w:r>
      <w:r w:rsidR="00264FF7">
        <w:rPr/>
        <w:t>A</w:t>
      </w:r>
      <w:r w:rsidR="1EDDE49E">
        <w:rPr/>
        <w:t>utism</w:t>
      </w:r>
      <w:r w:rsidR="00264FF7">
        <w:rPr/>
        <w:t xml:space="preserve"> services which </w:t>
      </w:r>
      <w:r w:rsidR="00264FF7">
        <w:rPr/>
        <w:t>went live in January 2023.</w:t>
      </w:r>
      <w:r w:rsidR="00264FF7">
        <w:rPr/>
        <w:t xml:space="preserve"> A range of care and support has been commissioned through the framework</w:t>
      </w:r>
      <w:r w:rsidR="009C67AC">
        <w:rPr/>
        <w:t xml:space="preserve"> including </w:t>
      </w:r>
      <w:r w:rsidR="00BF75E4">
        <w:rPr/>
        <w:t>i</w:t>
      </w:r>
      <w:r w:rsidR="009E5468">
        <w:rPr/>
        <w:t xml:space="preserve">ndependent </w:t>
      </w:r>
      <w:r w:rsidR="00BF75E4">
        <w:rPr/>
        <w:t>s</w:t>
      </w:r>
      <w:r w:rsidR="009E5468">
        <w:rPr/>
        <w:t xml:space="preserve">upported </w:t>
      </w:r>
      <w:r w:rsidR="00BF75E4">
        <w:rPr/>
        <w:t>l</w:t>
      </w:r>
      <w:r w:rsidR="009E5468">
        <w:rPr/>
        <w:t>iving</w:t>
      </w:r>
      <w:r w:rsidR="009C67AC">
        <w:rPr/>
        <w:t>,</w:t>
      </w:r>
      <w:r w:rsidR="00BF75E4">
        <w:rPr/>
        <w:t xml:space="preserve"> day opportunities and to a lesser degree, specialist residential provision. </w:t>
      </w:r>
    </w:p>
    <w:p w:rsidR="00B30A62" w:rsidP="00EC18D8" w:rsidRDefault="00D65225" w14:paraId="32C7B340" w14:textId="1D781FDF">
      <w:pPr>
        <w:spacing w:line="276" w:lineRule="auto"/>
        <w:ind w:left="-794"/>
        <w:jc w:val="left"/>
      </w:pPr>
      <w:r w:rsidRPr="00B30A62">
        <w:rPr>
          <w:b/>
          <w:bCs/>
          <w:color w:val="auto"/>
        </w:rPr>
        <w:t>Contract Value</w:t>
      </w:r>
      <w:r w:rsidR="00C22D74">
        <w:rPr>
          <w:b/>
          <w:bCs/>
          <w:color w:val="auto"/>
        </w:rPr>
        <w:t xml:space="preserve"> &amp; Length:</w:t>
      </w:r>
      <w:r w:rsidRPr="00B30A62">
        <w:rPr>
          <w:color w:val="auto"/>
        </w:rPr>
        <w:t xml:space="preserve"> </w:t>
      </w:r>
      <w:r w:rsidR="00013AA0">
        <w:rPr>
          <w:color w:val="auto"/>
        </w:rPr>
        <w:t>The value of the Supported Living</w:t>
      </w:r>
      <w:r w:rsidR="009B4841">
        <w:rPr>
          <w:color w:val="auto"/>
        </w:rPr>
        <w:t xml:space="preserve"> framework</w:t>
      </w:r>
      <w:r w:rsidR="00901A06">
        <w:rPr>
          <w:color w:val="auto"/>
        </w:rPr>
        <w:t xml:space="preserve"> (007796)</w:t>
      </w:r>
      <w:r w:rsidR="009B4841">
        <w:rPr>
          <w:color w:val="auto"/>
        </w:rPr>
        <w:t xml:space="preserve"> is </w:t>
      </w:r>
      <w:r>
        <w:t xml:space="preserve">£40 million per </w:t>
      </w:r>
      <w:r w:rsidR="009B4841">
        <w:t xml:space="preserve">annum, totalling </w:t>
      </w:r>
      <w:r w:rsidRPr="003F5DE1">
        <w:t>£200m</w:t>
      </w:r>
      <w:r w:rsidR="009B4841">
        <w:t xml:space="preserve"> over the five-year contract. There are </w:t>
      </w:r>
      <w:r w:rsidRPr="003F5DE1" w:rsidR="00C22D74">
        <w:t xml:space="preserve">opportunities for </w:t>
      </w:r>
      <w:r w:rsidR="009B4841">
        <w:t>providers</w:t>
      </w:r>
      <w:r w:rsidRPr="003F5DE1" w:rsidR="00C22D74">
        <w:t xml:space="preserve"> to join </w:t>
      </w:r>
      <w:r w:rsidR="009B4841">
        <w:t xml:space="preserve">the framework </w:t>
      </w:r>
      <w:r w:rsidRPr="003F5DE1" w:rsidR="00C22D74">
        <w:t>in years 2, 3 and 4.</w:t>
      </w:r>
    </w:p>
    <w:p w:rsidR="009D2025" w:rsidP="00EC18D8" w:rsidRDefault="00934993" w14:paraId="06C97EEE" w14:textId="68BE50E3">
      <w:pPr>
        <w:spacing w:line="276" w:lineRule="auto"/>
        <w:ind w:left="-794"/>
        <w:jc w:val="left"/>
      </w:pPr>
      <w:r w:rsidRPr="00C22D74">
        <w:rPr>
          <w:b/>
          <w:bCs/>
        </w:rPr>
        <w:t>Providers</w:t>
      </w:r>
      <w:r w:rsidR="008C2312">
        <w:rPr>
          <w:b/>
          <w:bCs/>
        </w:rPr>
        <w:br/>
      </w:r>
      <w:r w:rsidR="00F9127F">
        <w:t>To see the</w:t>
      </w:r>
      <w:r w:rsidRPr="003F5DE1">
        <w:t xml:space="preserve"> 29 Organisations who are </w:t>
      </w:r>
      <w:r w:rsidR="00F9127F">
        <w:t xml:space="preserve">currently </w:t>
      </w:r>
      <w:r w:rsidRPr="003F5DE1">
        <w:t xml:space="preserve">part of the </w:t>
      </w:r>
      <w:r>
        <w:t>framework</w:t>
      </w:r>
      <w:r w:rsidR="00F9127F">
        <w:t>, please use this link</w:t>
      </w:r>
      <w:r w:rsidR="00A5618D">
        <w:t xml:space="preserve"> - </w:t>
      </w:r>
      <w:hyperlink w:history="1" r:id="rId8">
        <w:r>
          <w:rPr>
            <w:rStyle w:val="Hyperlink"/>
          </w:rPr>
          <w:t>List of learning disability support services commissioned by Newcastle City Council - Infor</w:t>
        </w:r>
        <w:r w:rsidR="00F9127F">
          <w:rPr>
            <w:rStyle w:val="Hyperlink"/>
          </w:rPr>
          <w:t>m</w:t>
        </w:r>
        <w:r>
          <w:rPr>
            <w:rStyle w:val="Hyperlink"/>
          </w:rPr>
          <w:t>ation Now</w:t>
        </w:r>
      </w:hyperlink>
      <w:r w:rsidR="008C2312">
        <w:rPr>
          <w:rStyle w:val="Hyperlink"/>
        </w:rPr>
        <w:br/>
      </w:r>
      <w:r w:rsidR="001D6E67">
        <w:t>T</w:t>
      </w:r>
      <w:r w:rsidR="00F9127F">
        <w:t xml:space="preserve">o see the </w:t>
      </w:r>
      <w:r w:rsidR="001D6E67">
        <w:t>range of services included in the framework</w:t>
      </w:r>
      <w:r w:rsidR="00F9127F">
        <w:t>, please use this link</w:t>
      </w:r>
      <w:r w:rsidR="001D6E67">
        <w:t xml:space="preserve"> - </w:t>
      </w:r>
      <w:hyperlink w:history="1" r:id="rId9">
        <w:r w:rsidR="008D75CB">
          <w:rPr>
            <w:rStyle w:val="Hyperlink"/>
          </w:rPr>
          <w:t>Supported living or housing services for people with a learning disability or autism - Information Now</w:t>
        </w:r>
      </w:hyperlink>
      <w:r w:rsidR="005244FC">
        <w:t xml:space="preserve"> </w:t>
      </w:r>
      <w:bookmarkStart w:name="_Hlk159851359" w:id="0"/>
    </w:p>
    <w:p w:rsidRPr="00A70B01" w:rsidR="009D2025" w:rsidP="00ED4774" w:rsidRDefault="00F9127F" w14:paraId="56296B45" w14:textId="0C2DA4D2">
      <w:pPr>
        <w:spacing w:line="276" w:lineRule="auto"/>
        <w:ind w:left="-794"/>
        <w:jc w:val="left"/>
        <w:rPr>
          <w:b/>
          <w:bCs/>
          <w:sz w:val="32"/>
          <w:szCs w:val="32"/>
        </w:rPr>
      </w:pPr>
      <w:r w:rsidRPr="00A70B0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AC0653F" wp14:editId="125C5269">
            <wp:simplePos x="0" y="0"/>
            <wp:positionH relativeFrom="margin">
              <wp:posOffset>-502920</wp:posOffset>
            </wp:positionH>
            <wp:positionV relativeFrom="page">
              <wp:posOffset>9572625</wp:posOffset>
            </wp:positionV>
            <wp:extent cx="6919200" cy="108360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B01" w:rsidR="009D2025">
        <w:rPr>
          <w:b/>
          <w:bCs/>
          <w:sz w:val="32"/>
          <w:szCs w:val="32"/>
        </w:rPr>
        <w:t>Local and National context</w:t>
      </w:r>
    </w:p>
    <w:p w:rsidR="009D2025" w:rsidP="00AF0DD2" w:rsidRDefault="008A4778" w14:paraId="3E09338C" w14:textId="1ADBDFBF">
      <w:pPr>
        <w:spacing w:line="276" w:lineRule="auto"/>
        <w:ind w:left="-794"/>
        <w:jc w:val="left"/>
      </w:pPr>
      <w:r w:rsidRPr="003F5DE1">
        <w:t>Our focus in Newcastle</w:t>
      </w:r>
      <w:r w:rsidRPr="003F5DE1">
        <w:rPr>
          <w:spacing w:val="-17"/>
        </w:rPr>
        <w:t xml:space="preserve"> </w:t>
      </w:r>
      <w:r w:rsidRPr="003F5DE1">
        <w:t>puts</w:t>
      </w:r>
      <w:r w:rsidRPr="003F5DE1">
        <w:rPr>
          <w:spacing w:val="-3"/>
        </w:rPr>
        <w:t xml:space="preserve"> </w:t>
      </w:r>
      <w:r w:rsidRPr="003F5DE1">
        <w:t xml:space="preserve">emphasis on </w:t>
      </w:r>
      <w:r w:rsidR="00EE05C0">
        <w:t xml:space="preserve">supporting people to live in their local community. </w:t>
      </w:r>
      <w:r w:rsidRPr="003F5DE1" w:rsidR="00E22CCC">
        <w:t>Over the last 10 years we have developed our local offer in response to what people with Learning Disabilities and Autism have told us</w:t>
      </w:r>
      <w:r w:rsidR="00E22CCC">
        <w:t xml:space="preserve">. </w:t>
      </w:r>
      <w:r w:rsidRPr="009D2025" w:rsidR="009D2025">
        <w:t>From</w:t>
      </w:r>
      <w:r w:rsidR="00ED4774">
        <w:t xml:space="preserve"> our</w:t>
      </w:r>
      <w:r w:rsidRPr="009D2025" w:rsidR="009D2025">
        <w:t xml:space="preserve"> engagement</w:t>
      </w:r>
      <w:r w:rsidR="00ED4774">
        <w:t xml:space="preserve">, we </w:t>
      </w:r>
      <w:r w:rsidRPr="009D2025" w:rsidR="009D2025">
        <w:t xml:space="preserve">have heard the things that are most important to them are: </w:t>
      </w:r>
      <w:r w:rsidR="0012104C">
        <w:t xml:space="preserve">      -</w:t>
      </w:r>
      <w:r w:rsidR="00AF0DD2">
        <w:t>F</w:t>
      </w:r>
      <w:r w:rsidRPr="009D2025" w:rsidR="009D2025">
        <w:t xml:space="preserve">riendships and relationships </w:t>
      </w:r>
      <w:r w:rsidR="00AF0DD2">
        <w:tab/>
      </w:r>
      <w:r w:rsidR="00AF0DD2">
        <w:tab/>
      </w:r>
      <w:r w:rsidR="00AF0DD2">
        <w:t>-T</w:t>
      </w:r>
      <w:r w:rsidRPr="009D2025" w:rsidR="009D2025">
        <w:t>ransport</w:t>
      </w:r>
      <w:r w:rsidR="00AF0DD2">
        <w:t xml:space="preserve"> </w:t>
      </w:r>
      <w:r w:rsidR="00AF0DD2">
        <w:tab/>
      </w:r>
      <w:r w:rsidR="00AF0DD2">
        <w:tab/>
      </w:r>
      <w:r w:rsidR="00AF0DD2">
        <w:tab/>
      </w:r>
      <w:r w:rsidR="00AF0DD2">
        <w:tab/>
      </w:r>
      <w:r w:rsidR="00AF0DD2">
        <w:t>-J</w:t>
      </w:r>
      <w:r w:rsidRPr="009D2025" w:rsidR="009D2025">
        <w:t xml:space="preserve">obs </w:t>
      </w:r>
      <w:r w:rsidR="00CD3D67">
        <w:t xml:space="preserve">   </w:t>
      </w:r>
      <w:r w:rsidR="0012104C">
        <w:t xml:space="preserve">     </w:t>
      </w:r>
      <w:r w:rsidR="00CD3D67">
        <w:t xml:space="preserve"> </w:t>
      </w:r>
      <w:r w:rsidR="0012104C">
        <w:t>-</w:t>
      </w:r>
      <w:r w:rsidR="00CD3D67">
        <w:t>T</w:t>
      </w:r>
      <w:r w:rsidRPr="009D2025" w:rsidR="009D2025">
        <w:t>ackling hate crime</w:t>
      </w:r>
      <w:r w:rsidR="00AF0DD2">
        <w:tab/>
      </w:r>
      <w:r w:rsidR="00AF0DD2">
        <w:tab/>
      </w:r>
      <w:r w:rsidR="00AF0DD2">
        <w:tab/>
      </w:r>
      <w:r w:rsidR="00AF0DD2">
        <w:t>-T</w:t>
      </w:r>
      <w:r w:rsidRPr="009D2025" w:rsidR="009D2025">
        <w:t>ransitions</w:t>
      </w:r>
      <w:r w:rsidR="00AF0DD2">
        <w:tab/>
      </w:r>
      <w:r w:rsidR="00AF0DD2">
        <w:tab/>
      </w:r>
      <w:r w:rsidR="00AF0DD2">
        <w:tab/>
      </w:r>
      <w:r w:rsidR="00AF0DD2">
        <w:tab/>
      </w:r>
      <w:r w:rsidR="00AF0DD2">
        <w:t>-M</w:t>
      </w:r>
      <w:r w:rsidRPr="009D2025" w:rsidR="009D2025">
        <w:t>oney.</w:t>
      </w:r>
    </w:p>
    <w:p w:rsidRPr="009D2025" w:rsidR="009D2025" w:rsidP="006A43D2" w:rsidRDefault="00A8708D" w14:paraId="1050D3E4" w14:textId="576F38DC">
      <w:pPr>
        <w:spacing w:before="100" w:beforeAutospacing="1" w:line="276" w:lineRule="auto"/>
        <w:ind w:left="-794"/>
        <w:jc w:val="left"/>
      </w:pPr>
      <w:r w:rsidRPr="002303CE">
        <w:rPr>
          <w:noProof/>
          <w:color w:val="auto"/>
          <w:sz w:val="32"/>
          <w:szCs w:val="32"/>
        </w:rPr>
        <w:drawing>
          <wp:anchor distT="0" distB="0" distL="114300" distR="114300" simplePos="0" relativeHeight="251677696" behindDoc="0" locked="1" layoutInCell="1" allowOverlap="1" wp14:anchorId="28E5D855" wp14:editId="7C7F7B28">
            <wp:simplePos x="0" y="0"/>
            <wp:positionH relativeFrom="column">
              <wp:posOffset>4193540</wp:posOffset>
            </wp:positionH>
            <wp:positionV relativeFrom="paragraph">
              <wp:posOffset>-804545</wp:posOffset>
            </wp:positionV>
            <wp:extent cx="2159635" cy="5251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025" w:rsidR="009D2025">
        <w:t xml:space="preserve">Consultation on behalf of the </w:t>
      </w:r>
      <w:r w:rsidRPr="00E90FCF" w:rsidR="009D2025">
        <w:rPr>
          <w:b/>
          <w:bCs/>
        </w:rPr>
        <w:t>Collaborative Newcastle Learning Disability Partnership</w:t>
      </w:r>
      <w:r w:rsidRPr="009D2025" w:rsidR="009D2025">
        <w:t xml:space="preserve"> has identified</w:t>
      </w:r>
      <w:r w:rsidR="006A43D2">
        <w:t xml:space="preserve"> five</w:t>
      </w:r>
      <w:r w:rsidRPr="009D2025" w:rsidR="009D2025">
        <w:t xml:space="preserve"> priorities:</w:t>
      </w:r>
    </w:p>
    <w:p w:rsidRPr="00A35F54" w:rsidR="00A35F54" w:rsidP="000D35DA" w:rsidRDefault="009D2025" w14:paraId="2C7CFF34" w14:textId="7199C6D9">
      <w:pPr>
        <w:pStyle w:val="ListParagraph"/>
        <w:numPr>
          <w:ilvl w:val="0"/>
          <w:numId w:val="5"/>
        </w:numPr>
        <w:spacing w:line="276" w:lineRule="auto"/>
        <w:ind w:left="-320"/>
        <w:rPr>
          <w:rFonts w:ascii="Poppins" w:hAnsi="Poppins" w:cs="Poppins"/>
          <w:sz w:val="24"/>
          <w:szCs w:val="24"/>
        </w:rPr>
      </w:pPr>
      <w:r w:rsidRPr="00A35F54">
        <w:rPr>
          <w:rFonts w:ascii="Poppins" w:hAnsi="Poppins" w:cs="Poppins"/>
          <w:b/>
          <w:bCs/>
          <w:sz w:val="24"/>
          <w:szCs w:val="24"/>
        </w:rPr>
        <w:t xml:space="preserve">Relationship and </w:t>
      </w:r>
      <w:r w:rsidRPr="00A35F54" w:rsidR="00E90FCF">
        <w:rPr>
          <w:rFonts w:ascii="Poppins" w:hAnsi="Poppins" w:cs="Poppins"/>
          <w:b/>
          <w:bCs/>
          <w:sz w:val="24"/>
          <w:szCs w:val="24"/>
        </w:rPr>
        <w:t>c</w:t>
      </w:r>
      <w:r w:rsidRPr="00A35F54">
        <w:rPr>
          <w:rFonts w:ascii="Poppins" w:hAnsi="Poppins" w:cs="Poppins"/>
          <w:b/>
          <w:bCs/>
          <w:sz w:val="24"/>
          <w:szCs w:val="24"/>
        </w:rPr>
        <w:t>ommunity</w:t>
      </w:r>
      <w:r w:rsidR="00BC4516">
        <w:rPr>
          <w:rFonts w:ascii="Poppins" w:hAnsi="Poppins" w:cs="Poppins"/>
          <w:sz w:val="24"/>
          <w:szCs w:val="24"/>
        </w:rPr>
        <w:t xml:space="preserve"> - </w:t>
      </w:r>
      <w:r w:rsidRPr="009D2025">
        <w:rPr>
          <w:rFonts w:ascii="Poppins" w:hAnsi="Poppins" w:cs="Poppins"/>
          <w:sz w:val="24"/>
          <w:szCs w:val="24"/>
        </w:rPr>
        <w:t>People want</w:t>
      </w:r>
      <w:r w:rsidR="00633800">
        <w:rPr>
          <w:rFonts w:ascii="Poppins" w:hAnsi="Poppins" w:cs="Poppins"/>
          <w:sz w:val="24"/>
          <w:szCs w:val="24"/>
        </w:rPr>
        <w:t xml:space="preserve"> to maintain</w:t>
      </w:r>
      <w:r w:rsidRPr="009D2025">
        <w:rPr>
          <w:rFonts w:ascii="Poppins" w:hAnsi="Poppins" w:cs="Poppins"/>
          <w:sz w:val="24"/>
          <w:szCs w:val="24"/>
        </w:rPr>
        <w:t xml:space="preserve"> friends</w:t>
      </w:r>
      <w:r w:rsidR="00633800">
        <w:rPr>
          <w:rFonts w:ascii="Poppins" w:hAnsi="Poppins" w:cs="Poppins"/>
          <w:sz w:val="24"/>
          <w:szCs w:val="24"/>
        </w:rPr>
        <w:t>hips</w:t>
      </w:r>
      <w:r w:rsidRPr="009D2025">
        <w:rPr>
          <w:rFonts w:ascii="Poppins" w:hAnsi="Poppins" w:cs="Poppins"/>
          <w:sz w:val="24"/>
          <w:szCs w:val="24"/>
        </w:rPr>
        <w:t xml:space="preserve"> and connections: opportunities to spend time </w:t>
      </w:r>
      <w:r w:rsidR="00E90FCF">
        <w:rPr>
          <w:rFonts w:ascii="Poppins" w:hAnsi="Poppins" w:cs="Poppins"/>
          <w:sz w:val="24"/>
          <w:szCs w:val="24"/>
        </w:rPr>
        <w:t>with</w:t>
      </w:r>
      <w:r w:rsidRPr="009D2025">
        <w:rPr>
          <w:rFonts w:ascii="Poppins" w:hAnsi="Poppins" w:cs="Poppins"/>
          <w:sz w:val="24"/>
          <w:szCs w:val="24"/>
        </w:rPr>
        <w:t xml:space="preserve"> groups of people</w:t>
      </w:r>
      <w:r w:rsidR="00633800">
        <w:rPr>
          <w:rFonts w:ascii="Poppins" w:hAnsi="Poppins" w:cs="Poppins"/>
          <w:sz w:val="24"/>
          <w:szCs w:val="24"/>
        </w:rPr>
        <w:t xml:space="preserve">. </w:t>
      </w:r>
    </w:p>
    <w:p w:rsidRPr="00A35F54" w:rsidR="00A35F54" w:rsidP="000D35DA" w:rsidRDefault="009D2025" w14:paraId="07961078" w14:textId="14C2007F">
      <w:pPr>
        <w:pStyle w:val="ListParagraph"/>
        <w:numPr>
          <w:ilvl w:val="0"/>
          <w:numId w:val="5"/>
        </w:numPr>
        <w:spacing w:line="276" w:lineRule="auto"/>
        <w:ind w:left="-320"/>
        <w:rPr>
          <w:rFonts w:ascii="Poppins" w:hAnsi="Poppins" w:cs="Poppins"/>
          <w:sz w:val="24"/>
          <w:szCs w:val="24"/>
        </w:rPr>
      </w:pPr>
      <w:r w:rsidRPr="00A35F54">
        <w:rPr>
          <w:rFonts w:ascii="Poppins" w:hAnsi="Poppins" w:cs="Poppins"/>
          <w:b/>
          <w:bCs/>
          <w:sz w:val="24"/>
          <w:szCs w:val="24"/>
        </w:rPr>
        <w:t xml:space="preserve">Transport </w:t>
      </w:r>
      <w:r w:rsidRPr="00A35F54">
        <w:rPr>
          <w:rFonts w:ascii="Poppins" w:hAnsi="Poppins" w:cs="Poppins"/>
          <w:sz w:val="24"/>
          <w:szCs w:val="24"/>
        </w:rPr>
        <w:t>– the need for affordable and easy access to reliable public transport was identified. We were reminded of the importance of quality time with family, including children.</w:t>
      </w:r>
    </w:p>
    <w:p w:rsidRPr="00A35F54" w:rsidR="00A35F54" w:rsidP="000D35DA" w:rsidRDefault="009D2025" w14:paraId="327596D6" w14:textId="534D4DAD">
      <w:pPr>
        <w:pStyle w:val="ListParagraph"/>
        <w:numPr>
          <w:ilvl w:val="0"/>
          <w:numId w:val="5"/>
        </w:numPr>
        <w:spacing w:line="276" w:lineRule="auto"/>
        <w:ind w:left="-320"/>
        <w:rPr>
          <w:rFonts w:ascii="Poppins" w:hAnsi="Poppins" w:cs="Poppins"/>
          <w:sz w:val="24"/>
          <w:szCs w:val="24"/>
        </w:rPr>
      </w:pPr>
      <w:r w:rsidRPr="00A35F54">
        <w:rPr>
          <w:rFonts w:ascii="Poppins" w:hAnsi="Poppins" w:cs="Poppins"/>
          <w:b/>
          <w:bCs/>
          <w:sz w:val="24"/>
          <w:szCs w:val="24"/>
        </w:rPr>
        <w:t>Jobs</w:t>
      </w:r>
      <w:r w:rsidRPr="009D2025">
        <w:rPr>
          <w:rFonts w:ascii="Poppins" w:hAnsi="Poppins" w:cs="Poppins"/>
          <w:sz w:val="24"/>
          <w:szCs w:val="24"/>
        </w:rPr>
        <w:t xml:space="preserve"> - People want jobs: where they can use their talents, (examples of helping others, training others), improve their self-esteem, and feel valued. Earning money would help with the following priority too.</w:t>
      </w:r>
    </w:p>
    <w:p w:rsidRPr="009D2025" w:rsidR="009D2025" w:rsidP="000D35DA" w:rsidRDefault="009D2025" w14:paraId="68A40B02" w14:textId="77777777">
      <w:pPr>
        <w:pStyle w:val="ListParagraph"/>
        <w:numPr>
          <w:ilvl w:val="0"/>
          <w:numId w:val="5"/>
        </w:numPr>
        <w:spacing w:line="276" w:lineRule="auto"/>
        <w:ind w:left="-320"/>
        <w:rPr>
          <w:rFonts w:ascii="Poppins" w:hAnsi="Poppins" w:cs="Poppins"/>
          <w:sz w:val="24"/>
          <w:szCs w:val="24"/>
        </w:rPr>
      </w:pPr>
      <w:r w:rsidRPr="00A35F54">
        <w:rPr>
          <w:rFonts w:ascii="Poppins" w:hAnsi="Poppins" w:cs="Poppins"/>
          <w:b/>
          <w:bCs/>
          <w:sz w:val="24"/>
          <w:szCs w:val="24"/>
        </w:rPr>
        <w:t>Money</w:t>
      </w:r>
      <w:r w:rsidRPr="009D2025">
        <w:rPr>
          <w:rFonts w:ascii="Poppins" w:hAnsi="Poppins" w:cs="Poppins"/>
          <w:sz w:val="24"/>
          <w:szCs w:val="24"/>
        </w:rPr>
        <w:t xml:space="preserve"> - The need for help to navigate the benefits system is clear. People want their ‘own money’ (i.e., control over their money); and enough money to be able to spend on what they want (holidays, Primark, ‘putting a bet on’). Some are struggling with very limited income.</w:t>
      </w:r>
    </w:p>
    <w:p w:rsidR="009F2943" w:rsidP="000D35DA" w:rsidRDefault="009D2025" w14:paraId="0C7B1F83" w14:textId="77777777">
      <w:pPr>
        <w:pStyle w:val="ListParagraph"/>
        <w:numPr>
          <w:ilvl w:val="0"/>
          <w:numId w:val="5"/>
        </w:numPr>
        <w:spacing w:line="276" w:lineRule="auto"/>
        <w:ind w:left="-320"/>
        <w:rPr>
          <w:rFonts w:ascii="Poppins" w:hAnsi="Poppins" w:cs="Poppins"/>
          <w:sz w:val="24"/>
          <w:szCs w:val="24"/>
        </w:rPr>
      </w:pPr>
      <w:r w:rsidRPr="00A35F54">
        <w:rPr>
          <w:rFonts w:ascii="Poppins" w:hAnsi="Poppins" w:cs="Poppins"/>
          <w:b/>
          <w:bCs/>
          <w:sz w:val="24"/>
          <w:szCs w:val="24"/>
        </w:rPr>
        <w:t>Being Safe</w:t>
      </w:r>
      <w:r w:rsidRPr="009D2025">
        <w:rPr>
          <w:rFonts w:ascii="Poppins" w:hAnsi="Poppins" w:cs="Poppins"/>
          <w:sz w:val="24"/>
          <w:szCs w:val="24"/>
        </w:rPr>
        <w:t xml:space="preserve"> - People said they do not feel safe when out and about in their neighbourhoods, or town, but also some feel unsafe at home.  This may be a mixture of experiencing harassment or hate crime, but also fear. Safety online was also identified as a priority.</w:t>
      </w:r>
    </w:p>
    <w:p w:rsidRPr="00E36C65" w:rsidR="00FB209E" w:rsidP="00FB209E" w:rsidRDefault="00F9127F" w14:paraId="1D6F2F70" w14:textId="4721CC65">
      <w:pPr>
        <w:spacing w:line="276" w:lineRule="auto"/>
        <w:ind w:left="-680"/>
        <w:rPr>
          <w:rStyle w:val="Hyperlink"/>
          <w:color w:val="000000"/>
        </w:rPr>
      </w:pPr>
      <w:r w:rsidRPr="00E36C65">
        <w:rPr>
          <w:noProof/>
          <w:color w:val="000000"/>
        </w:rPr>
        <w:drawing>
          <wp:anchor distT="0" distB="0" distL="114300" distR="114300" simplePos="0" relativeHeight="251675648" behindDoc="0" locked="0" layoutInCell="1" allowOverlap="1" wp14:anchorId="12906D5C" wp14:editId="273F4DC6">
            <wp:simplePos x="0" y="0"/>
            <wp:positionH relativeFrom="margin">
              <wp:posOffset>-441435</wp:posOffset>
            </wp:positionH>
            <wp:positionV relativeFrom="page">
              <wp:posOffset>9605995</wp:posOffset>
            </wp:positionV>
            <wp:extent cx="6919200" cy="10836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C65" w:rsidR="000D35DA">
        <w:rPr>
          <w:color w:val="000000"/>
        </w:rPr>
        <w:t>For</w:t>
      </w:r>
      <w:r w:rsidRPr="00E36C65" w:rsidR="009D2025">
        <w:rPr>
          <w:color w:val="000000"/>
        </w:rPr>
        <w:t xml:space="preserve"> the full report</w:t>
      </w:r>
      <w:r w:rsidRPr="00E36C65" w:rsidR="002D1855">
        <w:rPr>
          <w:color w:val="000000"/>
        </w:rPr>
        <w:t>, please email</w:t>
      </w:r>
      <w:r w:rsidRPr="00E36C65" w:rsidR="000D35DA">
        <w:rPr>
          <w:color w:val="000000"/>
        </w:rPr>
        <w:t xml:space="preserve"> </w:t>
      </w:r>
      <w:hyperlink w:history="1" r:id="rId11">
        <w:r w:rsidRPr="00E36C65" w:rsidR="000D35DA">
          <w:rPr>
            <w:rStyle w:val="Hyperlink"/>
            <w:color w:val="000000"/>
          </w:rPr>
          <w:t>Info@skillsforpeople.org.uk</w:t>
        </w:r>
      </w:hyperlink>
      <w:bookmarkEnd w:id="0"/>
      <w:r w:rsidRPr="00E36C65" w:rsidR="002D1855">
        <w:rPr>
          <w:rStyle w:val="Hyperlink"/>
          <w:color w:val="000000"/>
        </w:rPr>
        <w:t xml:space="preserve">. </w:t>
      </w:r>
    </w:p>
    <w:p w:rsidRPr="00344579" w:rsidR="00A07711" w:rsidP="00344579" w:rsidRDefault="00CC39C0" w14:paraId="7FE2A550" w14:textId="5BA66EC4">
      <w:pPr>
        <w:spacing w:line="276" w:lineRule="auto"/>
        <w:ind w:left="-794"/>
        <w:rPr>
          <w:color w:val="000000"/>
          <w:sz w:val="32"/>
          <w:szCs w:val="32"/>
        </w:rPr>
      </w:pPr>
      <w:r w:rsidRPr="00E36C65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3600" behindDoc="0" locked="1" layoutInCell="1" allowOverlap="1" wp14:anchorId="701A1A55" wp14:editId="118623A2">
            <wp:simplePos x="0" y="0"/>
            <wp:positionH relativeFrom="margin">
              <wp:posOffset>-503555</wp:posOffset>
            </wp:positionH>
            <wp:positionV relativeFrom="page">
              <wp:posOffset>9598660</wp:posOffset>
            </wp:positionV>
            <wp:extent cx="6919200" cy="108360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C65" w:rsidR="00535D9D">
        <w:rPr>
          <w:b/>
          <w:bCs/>
          <w:color w:val="000000"/>
          <w:sz w:val="32"/>
          <w:szCs w:val="32"/>
        </w:rPr>
        <w:t xml:space="preserve">Legislation and useful resources </w:t>
      </w:r>
    </w:p>
    <w:p w:rsidRPr="00E36C65" w:rsidR="009F6E81" w:rsidP="008A043A" w:rsidRDefault="00000000" w14:paraId="73542395" w14:textId="1496FFDE">
      <w:pPr>
        <w:spacing w:line="240" w:lineRule="auto"/>
        <w:ind w:left="-794"/>
        <w:rPr>
          <w:rFonts w:eastAsia="Times New Roman"/>
          <w:color w:val="000000"/>
          <w:u w:val="single"/>
        </w:rPr>
      </w:pPr>
      <w:hyperlink w:history="1" r:id="rId12">
        <w:r w:rsidRPr="00E36C65" w:rsidR="009F6E81">
          <w:rPr>
            <w:rFonts w:eastAsia="Times New Roman"/>
            <w:color w:val="000000"/>
            <w:u w:val="single"/>
          </w:rPr>
          <w:t>Right support right care right culture (cqc.org.uk)</w:t>
        </w:r>
      </w:hyperlink>
    </w:p>
    <w:p w:rsidRPr="00E36C65" w:rsidR="009F6E81" w:rsidP="008A043A" w:rsidRDefault="00000000" w14:paraId="7998F84D" w14:textId="7E2DCAB8">
      <w:pPr>
        <w:spacing w:line="240" w:lineRule="auto"/>
        <w:ind w:left="-794"/>
        <w:rPr>
          <w:rFonts w:eastAsia="Times New Roman"/>
          <w:color w:val="000000"/>
        </w:rPr>
      </w:pPr>
      <w:hyperlink w:history="1" r:id="rId13">
        <w:r w:rsidRPr="00E36C65" w:rsidR="009F6E81">
          <w:rPr>
            <w:rFonts w:eastAsia="Times New Roman"/>
            <w:color w:val="000000"/>
            <w:u w:val="single"/>
          </w:rPr>
          <w:t>Building the Right Home</w:t>
        </w:r>
      </w:hyperlink>
    </w:p>
    <w:p w:rsidRPr="00E36C65" w:rsidR="009F6E81" w:rsidP="008A043A" w:rsidRDefault="00000000" w14:paraId="7C7A93A3" w14:textId="77777777">
      <w:pPr>
        <w:spacing w:line="240" w:lineRule="auto"/>
        <w:ind w:left="-794"/>
        <w:rPr>
          <w:rFonts w:eastAsia="Times New Roman"/>
          <w:color w:val="000000"/>
        </w:rPr>
      </w:pPr>
      <w:hyperlink w:history="1" r:id="rId14">
        <w:r w:rsidRPr="00E36C65" w:rsidR="009F6E81">
          <w:rPr>
            <w:rFonts w:eastAsia="Times New Roman"/>
            <w:color w:val="000000"/>
            <w:u w:val="single"/>
          </w:rPr>
          <w:t>The Service Model</w:t>
        </w:r>
      </w:hyperlink>
    </w:p>
    <w:p w:rsidRPr="00E36C65" w:rsidR="009F6E81" w:rsidP="008A043A" w:rsidRDefault="00000000" w14:paraId="057EC330" w14:textId="77777777">
      <w:pPr>
        <w:spacing w:line="240" w:lineRule="auto"/>
        <w:ind w:left="-794"/>
        <w:rPr>
          <w:rFonts w:eastAsia="Times New Roman"/>
          <w:color w:val="000000"/>
        </w:rPr>
      </w:pPr>
      <w:hyperlink w:history="1" r:id="rId15">
        <w:r w:rsidRPr="00E36C65" w:rsidR="009F6E81">
          <w:rPr>
            <w:rFonts w:eastAsia="Times New Roman"/>
            <w:color w:val="000000"/>
            <w:u w:val="single"/>
          </w:rPr>
          <w:t>Building the Right Support</w:t>
        </w:r>
      </w:hyperlink>
    </w:p>
    <w:p w:rsidRPr="00553AFB" w:rsidR="00E502D3" w:rsidP="008A043A" w:rsidRDefault="00000000" w14:paraId="576FB1F1" w14:textId="79934606">
      <w:pPr>
        <w:autoSpaceDE w:val="0"/>
        <w:autoSpaceDN w:val="0"/>
        <w:adjustRightInd w:val="0"/>
        <w:spacing w:line="240" w:lineRule="auto"/>
        <w:ind w:left="-794"/>
        <w:rPr>
          <w:color w:val="auto"/>
        </w:rPr>
      </w:pPr>
      <w:hyperlink w:history="1" r:id="rId16">
        <w:r w:rsidRPr="00E36C65" w:rsidR="009F6E81">
          <w:rPr>
            <w:color w:val="000000"/>
            <w:u w:val="single"/>
          </w:rPr>
          <w:t>NHS England » Learning from lives and deaths – People with a learning disability and autistic people (</w:t>
        </w:r>
        <w:proofErr w:type="spellStart"/>
        <w:r w:rsidRPr="00E36C65" w:rsidR="009F6E81">
          <w:rPr>
            <w:color w:val="000000"/>
            <w:u w:val="single"/>
          </w:rPr>
          <w:t>LeDeR</w:t>
        </w:r>
        <w:proofErr w:type="spellEnd"/>
        <w:r w:rsidRPr="00E36C65" w:rsidR="009F6E81">
          <w:rPr>
            <w:color w:val="000000"/>
            <w:u w:val="single"/>
          </w:rPr>
          <w:t>)</w:t>
        </w:r>
      </w:hyperlink>
      <w:r w:rsidRPr="00553AFB" w:rsidR="002A46D6">
        <w:rPr>
          <w:b/>
          <w:bCs/>
          <w:noProof/>
          <w:color w:val="auto"/>
        </w:rPr>
        <w:drawing>
          <wp:anchor distT="0" distB="0" distL="114300" distR="114300" simplePos="0" relativeHeight="251659264" behindDoc="0" locked="1" layoutInCell="1" allowOverlap="1" wp14:anchorId="410E429A" wp14:editId="17A2F528">
            <wp:simplePos x="0" y="0"/>
            <wp:positionH relativeFrom="column">
              <wp:posOffset>-558165</wp:posOffset>
            </wp:positionH>
            <wp:positionV relativeFrom="page">
              <wp:posOffset>9606280</wp:posOffset>
            </wp:positionV>
            <wp:extent cx="6918960" cy="10833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553AFB" w:rsidR="00E502D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20F" w:rsidP="00383403" w:rsidRDefault="008A120F" w14:paraId="1F43D9D1" w14:textId="77777777">
      <w:pPr>
        <w:spacing w:after="0" w:line="240" w:lineRule="auto"/>
      </w:pPr>
      <w:r>
        <w:separator/>
      </w:r>
    </w:p>
  </w:endnote>
  <w:endnote w:type="continuationSeparator" w:id="0">
    <w:p w:rsidR="008A120F" w:rsidP="00383403" w:rsidRDefault="008A120F" w14:paraId="10E489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20F" w:rsidP="00383403" w:rsidRDefault="008A120F" w14:paraId="05B38FD1" w14:textId="77777777">
      <w:pPr>
        <w:spacing w:after="0" w:line="240" w:lineRule="auto"/>
      </w:pPr>
      <w:r>
        <w:separator/>
      </w:r>
    </w:p>
  </w:footnote>
  <w:footnote w:type="continuationSeparator" w:id="0">
    <w:p w:rsidR="008A120F" w:rsidP="00383403" w:rsidRDefault="008A120F" w14:paraId="40D8FCE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607"/>
    <w:multiLevelType w:val="multilevel"/>
    <w:tmpl w:val="5D3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2705930"/>
    <w:multiLevelType w:val="hybridMultilevel"/>
    <w:tmpl w:val="83CA70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A2436C7"/>
    <w:multiLevelType w:val="hybridMultilevel"/>
    <w:tmpl w:val="EFFE97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953760"/>
    <w:multiLevelType w:val="hybridMultilevel"/>
    <w:tmpl w:val="469A0CE4"/>
    <w:lvl w:ilvl="0" w:tplc="08090001">
      <w:start w:val="1"/>
      <w:numFmt w:val="bullet"/>
      <w:lvlText w:val=""/>
      <w:lvlJc w:val="left"/>
      <w:pPr>
        <w:ind w:left="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hint="default" w:ascii="Wingdings" w:hAnsi="Wingdings"/>
      </w:rPr>
    </w:lvl>
  </w:abstractNum>
  <w:abstractNum w:abstractNumId="4" w15:restartNumberingAfterBreak="0">
    <w:nsid w:val="705C49EC"/>
    <w:multiLevelType w:val="hybridMultilevel"/>
    <w:tmpl w:val="308CB458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abstractNum w:abstractNumId="5" w15:restartNumberingAfterBreak="0">
    <w:nsid w:val="7178596D"/>
    <w:multiLevelType w:val="hybridMultilevel"/>
    <w:tmpl w:val="C61A7F70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num w:numId="1" w16cid:durableId="354767974">
    <w:abstractNumId w:val="2"/>
  </w:num>
  <w:num w:numId="2" w16cid:durableId="1735083403">
    <w:abstractNumId w:val="0"/>
  </w:num>
  <w:num w:numId="3" w16cid:durableId="1070889741">
    <w:abstractNumId w:val="5"/>
  </w:num>
  <w:num w:numId="4" w16cid:durableId="1803038728">
    <w:abstractNumId w:val="4"/>
  </w:num>
  <w:num w:numId="5" w16cid:durableId="1436630606">
    <w:abstractNumId w:val="1"/>
  </w:num>
  <w:num w:numId="6" w16cid:durableId="18766924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5"/>
    <w:rsid w:val="00013AA0"/>
    <w:rsid w:val="0001426A"/>
    <w:rsid w:val="00031E45"/>
    <w:rsid w:val="00031F1F"/>
    <w:rsid w:val="00036555"/>
    <w:rsid w:val="000D35DA"/>
    <w:rsid w:val="000F1B22"/>
    <w:rsid w:val="000F6F64"/>
    <w:rsid w:val="000F7455"/>
    <w:rsid w:val="00112B3D"/>
    <w:rsid w:val="0012104C"/>
    <w:rsid w:val="00122587"/>
    <w:rsid w:val="00122CD5"/>
    <w:rsid w:val="001242D9"/>
    <w:rsid w:val="0016013F"/>
    <w:rsid w:val="001616DF"/>
    <w:rsid w:val="001716D7"/>
    <w:rsid w:val="00173C11"/>
    <w:rsid w:val="0018015E"/>
    <w:rsid w:val="00196BC8"/>
    <w:rsid w:val="001A103A"/>
    <w:rsid w:val="001C5058"/>
    <w:rsid w:val="001D6E67"/>
    <w:rsid w:val="001E73DE"/>
    <w:rsid w:val="002029CF"/>
    <w:rsid w:val="00210243"/>
    <w:rsid w:val="00210912"/>
    <w:rsid w:val="00210D05"/>
    <w:rsid w:val="00264FF7"/>
    <w:rsid w:val="0027569F"/>
    <w:rsid w:val="0028593E"/>
    <w:rsid w:val="0029383E"/>
    <w:rsid w:val="00295F80"/>
    <w:rsid w:val="002A46D6"/>
    <w:rsid w:val="002A68FC"/>
    <w:rsid w:val="002D1855"/>
    <w:rsid w:val="002E37C9"/>
    <w:rsid w:val="002E4077"/>
    <w:rsid w:val="002F2D56"/>
    <w:rsid w:val="003045A0"/>
    <w:rsid w:val="00344579"/>
    <w:rsid w:val="00353E2B"/>
    <w:rsid w:val="00383403"/>
    <w:rsid w:val="00397BFC"/>
    <w:rsid w:val="003D663E"/>
    <w:rsid w:val="003E1BA5"/>
    <w:rsid w:val="003F0E17"/>
    <w:rsid w:val="003F5DE1"/>
    <w:rsid w:val="00401ED2"/>
    <w:rsid w:val="0041587E"/>
    <w:rsid w:val="00443BA0"/>
    <w:rsid w:val="00463EA9"/>
    <w:rsid w:val="00487389"/>
    <w:rsid w:val="004C544F"/>
    <w:rsid w:val="004D1F0B"/>
    <w:rsid w:val="004D3400"/>
    <w:rsid w:val="005244FC"/>
    <w:rsid w:val="00532E4E"/>
    <w:rsid w:val="00535D9D"/>
    <w:rsid w:val="00551397"/>
    <w:rsid w:val="00553AFB"/>
    <w:rsid w:val="00563385"/>
    <w:rsid w:val="00571BB7"/>
    <w:rsid w:val="00586099"/>
    <w:rsid w:val="005967F4"/>
    <w:rsid w:val="005C09B1"/>
    <w:rsid w:val="005D323A"/>
    <w:rsid w:val="005D3A74"/>
    <w:rsid w:val="005F500E"/>
    <w:rsid w:val="00612042"/>
    <w:rsid w:val="00633800"/>
    <w:rsid w:val="00654F93"/>
    <w:rsid w:val="0065594A"/>
    <w:rsid w:val="00657010"/>
    <w:rsid w:val="00685689"/>
    <w:rsid w:val="00687BF5"/>
    <w:rsid w:val="00690BC9"/>
    <w:rsid w:val="006A29A5"/>
    <w:rsid w:val="006A43D2"/>
    <w:rsid w:val="006A5957"/>
    <w:rsid w:val="006C4635"/>
    <w:rsid w:val="006D6D9F"/>
    <w:rsid w:val="006F2613"/>
    <w:rsid w:val="0070625E"/>
    <w:rsid w:val="007241F0"/>
    <w:rsid w:val="00752295"/>
    <w:rsid w:val="0075729F"/>
    <w:rsid w:val="0077192A"/>
    <w:rsid w:val="007C2805"/>
    <w:rsid w:val="0083000D"/>
    <w:rsid w:val="008352DA"/>
    <w:rsid w:val="008A043A"/>
    <w:rsid w:val="008A120F"/>
    <w:rsid w:val="008A4778"/>
    <w:rsid w:val="008B3D64"/>
    <w:rsid w:val="008C2312"/>
    <w:rsid w:val="008D3E71"/>
    <w:rsid w:val="008D75CB"/>
    <w:rsid w:val="008E1FB1"/>
    <w:rsid w:val="00901A06"/>
    <w:rsid w:val="009159E7"/>
    <w:rsid w:val="00920666"/>
    <w:rsid w:val="00934993"/>
    <w:rsid w:val="00944064"/>
    <w:rsid w:val="00962C4F"/>
    <w:rsid w:val="00981612"/>
    <w:rsid w:val="0099404A"/>
    <w:rsid w:val="009A79E2"/>
    <w:rsid w:val="009B1493"/>
    <w:rsid w:val="009B3746"/>
    <w:rsid w:val="009B4841"/>
    <w:rsid w:val="009B5A41"/>
    <w:rsid w:val="009C67AC"/>
    <w:rsid w:val="009D2025"/>
    <w:rsid w:val="009D2089"/>
    <w:rsid w:val="009D6566"/>
    <w:rsid w:val="009E5468"/>
    <w:rsid w:val="009F2943"/>
    <w:rsid w:val="009F3FFA"/>
    <w:rsid w:val="009F6E81"/>
    <w:rsid w:val="00A07711"/>
    <w:rsid w:val="00A17583"/>
    <w:rsid w:val="00A34409"/>
    <w:rsid w:val="00A35F54"/>
    <w:rsid w:val="00A4030E"/>
    <w:rsid w:val="00A471D5"/>
    <w:rsid w:val="00A5618D"/>
    <w:rsid w:val="00A6090C"/>
    <w:rsid w:val="00A70B01"/>
    <w:rsid w:val="00A74EC7"/>
    <w:rsid w:val="00A752E5"/>
    <w:rsid w:val="00A836DD"/>
    <w:rsid w:val="00A8708D"/>
    <w:rsid w:val="00A95366"/>
    <w:rsid w:val="00AA05B5"/>
    <w:rsid w:val="00AB72C2"/>
    <w:rsid w:val="00AC6776"/>
    <w:rsid w:val="00AD0C1A"/>
    <w:rsid w:val="00AF0DD2"/>
    <w:rsid w:val="00AF6F93"/>
    <w:rsid w:val="00B30A62"/>
    <w:rsid w:val="00B4665D"/>
    <w:rsid w:val="00B80EDD"/>
    <w:rsid w:val="00BC4516"/>
    <w:rsid w:val="00BC57ED"/>
    <w:rsid w:val="00BE6E6B"/>
    <w:rsid w:val="00BF3421"/>
    <w:rsid w:val="00BF5B8B"/>
    <w:rsid w:val="00BF75E4"/>
    <w:rsid w:val="00BF7BCB"/>
    <w:rsid w:val="00C0109F"/>
    <w:rsid w:val="00C208FE"/>
    <w:rsid w:val="00C22D74"/>
    <w:rsid w:val="00C35300"/>
    <w:rsid w:val="00C40A96"/>
    <w:rsid w:val="00C61AE4"/>
    <w:rsid w:val="00C638D8"/>
    <w:rsid w:val="00C64EAF"/>
    <w:rsid w:val="00CA18B6"/>
    <w:rsid w:val="00CB273C"/>
    <w:rsid w:val="00CC39C0"/>
    <w:rsid w:val="00CC4493"/>
    <w:rsid w:val="00CD0A1E"/>
    <w:rsid w:val="00CD3D67"/>
    <w:rsid w:val="00D037C8"/>
    <w:rsid w:val="00D464EB"/>
    <w:rsid w:val="00D574DB"/>
    <w:rsid w:val="00D65225"/>
    <w:rsid w:val="00D76B7C"/>
    <w:rsid w:val="00D8129F"/>
    <w:rsid w:val="00D877DB"/>
    <w:rsid w:val="00DB3017"/>
    <w:rsid w:val="00DB6DCE"/>
    <w:rsid w:val="00DB6F7A"/>
    <w:rsid w:val="00DD4403"/>
    <w:rsid w:val="00DD4CAD"/>
    <w:rsid w:val="00DF4E98"/>
    <w:rsid w:val="00E14819"/>
    <w:rsid w:val="00E14CA4"/>
    <w:rsid w:val="00E22CCC"/>
    <w:rsid w:val="00E24A7F"/>
    <w:rsid w:val="00E3186C"/>
    <w:rsid w:val="00E36C65"/>
    <w:rsid w:val="00E502D3"/>
    <w:rsid w:val="00E90FCF"/>
    <w:rsid w:val="00EB25B2"/>
    <w:rsid w:val="00EC18D8"/>
    <w:rsid w:val="00ED4774"/>
    <w:rsid w:val="00EE05C0"/>
    <w:rsid w:val="00EE2133"/>
    <w:rsid w:val="00EE7DE2"/>
    <w:rsid w:val="00F0195A"/>
    <w:rsid w:val="00F020A0"/>
    <w:rsid w:val="00F14235"/>
    <w:rsid w:val="00F223B6"/>
    <w:rsid w:val="00F22ED6"/>
    <w:rsid w:val="00F24CF5"/>
    <w:rsid w:val="00F279A8"/>
    <w:rsid w:val="00F37482"/>
    <w:rsid w:val="00F57889"/>
    <w:rsid w:val="00F705EC"/>
    <w:rsid w:val="00F74D92"/>
    <w:rsid w:val="00F84FFD"/>
    <w:rsid w:val="00F9127F"/>
    <w:rsid w:val="00F955CD"/>
    <w:rsid w:val="00FB209E"/>
    <w:rsid w:val="00FB3FFD"/>
    <w:rsid w:val="00FF5C8F"/>
    <w:rsid w:val="00FF73C6"/>
    <w:rsid w:val="00FF7A6D"/>
    <w:rsid w:val="0101E883"/>
    <w:rsid w:val="1DA59064"/>
    <w:rsid w:val="1EDDE49E"/>
    <w:rsid w:val="326BC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6F6F59A6"/>
  <w15:chartTrackingRefBased/>
  <w15:docId w15:val="{F2EBA617-19BA-4AFF-8304-2D8148054C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4403"/>
    <w:pPr>
      <w:spacing w:after="240" w:line="288" w:lineRule="auto"/>
      <w:jc w:val="both"/>
    </w:pPr>
    <w:rPr>
      <w:rFonts w:ascii="Poppins" w:hAnsi="Poppins" w:cs="Poppins"/>
      <w:color w:val="30303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403"/>
    <w:pPr>
      <w:keepNext/>
      <w:keepLines/>
      <w:spacing w:before="120" w:line="240" w:lineRule="auto"/>
      <w:jc w:val="left"/>
      <w:outlineLvl w:val="0"/>
    </w:pPr>
    <w:rPr>
      <w:rFonts w:eastAsiaTheme="majorEastAsia"/>
      <w:b/>
      <w:bCs/>
      <w:color w:val="CE0F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403"/>
    <w:pPr>
      <w:keepNext/>
      <w:keepLines/>
      <w:spacing w:before="120" w:line="240" w:lineRule="auto"/>
      <w:jc w:val="left"/>
      <w:outlineLvl w:val="1"/>
    </w:pPr>
    <w:rPr>
      <w:rFonts w:eastAsiaTheme="majorEastAsia"/>
      <w:color w:val="CE0F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403"/>
    <w:pPr>
      <w:spacing w:before="120" w:line="240" w:lineRule="auto"/>
      <w:jc w:val="left"/>
      <w:outlineLvl w:val="2"/>
    </w:pPr>
    <w:rPr>
      <w:b/>
      <w:bCs/>
      <w:color w:val="CE0F6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4403"/>
    <w:rPr>
      <w:rFonts w:ascii="Poppins" w:hAnsi="Poppins" w:cs="Poppins" w:eastAsiaTheme="majorEastAsia"/>
      <w:b/>
      <w:bCs/>
      <w:color w:val="CE0F69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DD4403"/>
    <w:rPr>
      <w:rFonts w:ascii="Poppins" w:hAnsi="Poppins" w:cs="Poppins" w:eastAsiaTheme="majorEastAsia"/>
      <w:color w:val="CE0F69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D4403"/>
    <w:rPr>
      <w:rFonts w:ascii="Poppins" w:hAnsi="Poppins" w:cs="Poppins"/>
      <w:b/>
      <w:bCs/>
      <w:color w:val="CE0F69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403"/>
    <w:rPr>
      <w:color w:val="CE0F69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3403"/>
    <w:rPr>
      <w:rFonts w:ascii="Poppins" w:hAnsi="Poppins" w:cs="Poppins"/>
      <w:color w:val="30303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3403"/>
    <w:rPr>
      <w:rFonts w:ascii="Poppins" w:hAnsi="Poppins" w:cs="Poppins"/>
      <w:color w:val="30303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E81"/>
    <w:pPr>
      <w:spacing w:after="0" w:line="240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90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613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formationnow.org.uk/article/list-of-learning-disability-support-services-commissioned-by-newcastle-city-council/" TargetMode="External" Id="rId8" /><Relationship Type="http://schemas.openxmlformats.org/officeDocument/2006/relationships/hyperlink" Target="https://www.england.nhs.uk/learningdisabilities/wp-content/uploads/sites/34/2015/11/building-right-home-guidance-housing.pdf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1.emf" Id="rId7" /><Relationship Type="http://schemas.openxmlformats.org/officeDocument/2006/relationships/hyperlink" Target="https://www.cqc.org.uk/sites/default/files/20200929-900582-Right-support-right-care-right-culture-FINAL.pdf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yperlink" Target="https://www.england.nhs.uk/learning-disabilities/improving-health/learning-from-lives-and-deaths/" TargetMode="Externa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Info@skillsforpeople.org.uk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england.nhs.uk/wp-content/uploads/2015/10/ld-nat-imp-plan-oct15.pdf" TargetMode="External" Id="rId15" /><Relationship Type="http://schemas.openxmlformats.org/officeDocument/2006/relationships/image" Target="media/image2.png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www.informationnow.org.uk/article/supported-living-for-people-with-a-learning-disability-or-autism/" TargetMode="External" Id="rId9" /><Relationship Type="http://schemas.openxmlformats.org/officeDocument/2006/relationships/hyperlink" Target="https://www.england.nhs.uk/wp-content/uploads/2015/10/service-model-291015.pdf" TargetMode="External" Id="rId14" 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0488AB80D2B42AE5FA31CA3B48EF8" ma:contentTypeVersion="16" ma:contentTypeDescription="Create a new document." ma:contentTypeScope="" ma:versionID="f3b48f656031445652956578b30c154a">
  <xsd:schema xmlns:xsd="http://www.w3.org/2001/XMLSchema" xmlns:xs="http://www.w3.org/2001/XMLSchema" xmlns:p="http://schemas.microsoft.com/office/2006/metadata/properties" xmlns:ns2="2bebd1e4-4e04-49c2-a6fb-a54b15c00235" xmlns:ns3="c30e919f-ad78-4236-a3df-e961435da678" targetNamespace="http://schemas.microsoft.com/office/2006/metadata/properties" ma:root="true" ma:fieldsID="683a78ee432ec182381924b736f9c1cd" ns2:_="" ns3:_="">
    <xsd:import namespace="2bebd1e4-4e04-49c2-a6fb-a54b15c00235"/>
    <xsd:import namespace="c30e919f-ad78-4236-a3df-e961435d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d1e4-4e04-49c2-a6fb-a54b15c0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919f-ad78-4236-a3df-e961435da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1dd208-5c4a-4dd2-bdba-27112d550abf}" ma:internalName="TaxCatchAll" ma:showField="CatchAllData" ma:web="c30e919f-ad78-4236-a3df-e961435d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bd1e4-4e04-49c2-a6fb-a54b15c00235">
      <Terms xmlns="http://schemas.microsoft.com/office/infopath/2007/PartnerControls"/>
    </lcf76f155ced4ddcb4097134ff3c332f>
    <TaxCatchAll xmlns="c30e919f-ad78-4236-a3df-e961435da678" xsi:nil="true"/>
  </documentManagement>
</p:properties>
</file>

<file path=customXml/itemProps1.xml><?xml version="1.0" encoding="utf-8"?>
<ds:datastoreItem xmlns:ds="http://schemas.openxmlformats.org/officeDocument/2006/customXml" ds:itemID="{5DE8A517-686D-4917-B690-944EFDB997E2}"/>
</file>

<file path=customXml/itemProps2.xml><?xml version="1.0" encoding="utf-8"?>
<ds:datastoreItem xmlns:ds="http://schemas.openxmlformats.org/officeDocument/2006/customXml" ds:itemID="{5DC06C21-8C7A-4F7F-96D1-EAC533E24E4E}"/>
</file>

<file path=customXml/itemProps3.xml><?xml version="1.0" encoding="utf-8"?>
<ds:datastoreItem xmlns:ds="http://schemas.openxmlformats.org/officeDocument/2006/customXml" ds:itemID="{96E981D7-3E8F-4E10-AA72-23F821D0AA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Seamus</dc:creator>
  <cp:keywords/>
  <dc:description/>
  <cp:lastModifiedBy>Turnbull, Nicola</cp:lastModifiedBy>
  <cp:revision>193</cp:revision>
  <dcterms:created xsi:type="dcterms:W3CDTF">2024-02-16T09:36:00Z</dcterms:created>
  <dcterms:modified xsi:type="dcterms:W3CDTF">2024-07-24T11:36:29Z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0x0101006570488AB80D2B42AE5FA31CA3B48EF8</vt:lpwstr>
  </property>
  <property fmtid="{D5CDD505-2E9C-101B-9397-08002B2CF9AE}" pid="3" name="MediaServiceImageTags">
    <vt:lpwstr/>
  </property>
</Properties>
</file>