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="00F111D0" w:rsidP="00AB7CFA" w:rsidRDefault="0093638E" w14:textId="696D68C1" w14:paraId="2AE80A29">
      <w:pPr>
        <w:pStyle w:val="Heading3"/>
        <w:ind w:left="-1247"/>
        <w:rPr>
          <w:sz w:val="32"/>
          <w:szCs w:val="32"/>
        </w:rPr>
      </w:pPr>
      <w:r w:rsidRPr="00A70209">
        <w:rPr>
          <w:noProof/>
          <w:color w:val="auto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3ED722" wp14:editId="50F4769F">
                <wp:simplePos x="0" y="0"/>
                <wp:positionH relativeFrom="margin">
                  <wp:posOffset>-805815</wp:posOffset>
                </wp:positionH>
                <wp:positionV relativeFrom="topMargin">
                  <wp:posOffset>490855</wp:posOffset>
                </wp:positionV>
                <wp:extent cx="3940810" cy="1091565"/>
                <wp:effectExtent l="0" t="0" r="2159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810" cy="1091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1574F" w:rsidR="009B3746" w:rsidP="00411852" w:rsidRDefault="00F279A8" w14:paraId="2267FD00" w14:textId="331D8B6E">
                            <w:pPr>
                              <w:pStyle w:val="Heading1"/>
                              <w:ind w:left="-170"/>
                              <w:rPr>
                                <w:b w:val="0"/>
                                <w:bCs w:val="0"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126E85">
                              <w:rPr>
                                <w:sz w:val="48"/>
                                <w:szCs w:val="48"/>
                              </w:rPr>
                              <w:t>Day Opportunities</w:t>
                            </w:r>
                            <w:r w:rsidRPr="00126E85" w:rsidR="00411852">
                              <w:rPr>
                                <w:sz w:val="48"/>
                                <w:szCs w:val="48"/>
                              </w:rPr>
                              <w:br/>
                            </w:r>
                            <w:r w:rsidRPr="0071574F" w:rsidR="009B3746">
                              <w:rPr>
                                <w:b w:val="0"/>
                                <w:bCs w:val="0"/>
                                <w:color w:val="auto"/>
                                <w:sz w:val="40"/>
                                <w:szCs w:val="40"/>
                              </w:rPr>
                              <w:t>Market Position Statement</w:t>
                            </w:r>
                          </w:p>
                          <w:p w:rsidR="009B3746" w:rsidRDefault="009B3746" w14:paraId="5D1B9430" w14:textId="271F02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A3ED722">
                <v:stroke joinstyle="miter"/>
                <v:path gradientshapeok="t" o:connecttype="rect"/>
              </v:shapetype>
              <v:shape id="Text Box 2" style="position:absolute;left:0;text-align:left;margin-left:-63.45pt;margin-top:38.65pt;width:310.3pt;height:8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spid="_x0000_s1026" fillcolor="white [321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">
                <v:textbox>
                  <w:txbxContent>
                    <w:p w:rsidRPr="0071574F" w:rsidR="009B3746" w:rsidP="00411852" w:rsidRDefault="00F279A8" w14:paraId="2267FD00" w14:textId="331D8B6E">
                      <w:pPr>
                        <w:pStyle w:val="Heading1"/>
                        <w:ind w:left="-170"/>
                        <w:rPr>
                          <w:b w:val="0"/>
                          <w:bCs w:val="0"/>
                          <w:color w:val="auto"/>
                          <w:sz w:val="40"/>
                          <w:szCs w:val="40"/>
                        </w:rPr>
                      </w:pPr>
                      <w:r w:rsidRPr="00126E85">
                        <w:rPr>
                          <w:sz w:val="48"/>
                          <w:szCs w:val="48"/>
                        </w:rPr>
                        <w:t>Day Opportunities</w:t>
                      </w:r>
                      <w:r w:rsidRPr="00126E85" w:rsidR="00411852">
                        <w:rPr>
                          <w:sz w:val="48"/>
                          <w:szCs w:val="48"/>
                        </w:rPr>
                        <w:br/>
                      </w:r>
                      <w:r w:rsidRPr="0071574F" w:rsidR="009B3746">
                        <w:rPr>
                          <w:b w:val="0"/>
                          <w:bCs w:val="0"/>
                          <w:color w:val="auto"/>
                          <w:sz w:val="40"/>
                          <w:szCs w:val="40"/>
                        </w:rPr>
                        <w:t>Market Position Statement</w:t>
                      </w:r>
                    </w:p>
                    <w:p w:rsidR="009B3746" w:rsidRDefault="009B3746" w14:paraId="5D1B9430" w14:textId="271F0289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D4262"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131C10" wp14:editId="2BDEED2F">
                <wp:simplePos x="0" y="0"/>
                <wp:positionH relativeFrom="column">
                  <wp:posOffset>-929640</wp:posOffset>
                </wp:positionH>
                <wp:positionV relativeFrom="paragraph">
                  <wp:posOffset>673735</wp:posOffset>
                </wp:positionV>
                <wp:extent cx="749236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236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-73.2pt,53.05pt" to="516.75pt,53.05pt" w14:anchorId="464DBB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">
                <v:stroke joinstyle="miter"/>
              </v:line>
            </w:pict>
          </mc:Fallback>
        </mc:AlternateContent>
      </w:r>
      <w:r w:rsidRPr="00A70209" w:rsidR="00DD4262">
        <w:rPr>
          <w:noProof/>
          <w:color w:val="auto"/>
        </w:rPr>
        <w:drawing>
          <wp:anchor distT="0" distB="0" distL="114300" distR="114300" simplePos="0" relativeHeight="251666432" behindDoc="1" locked="0" layoutInCell="1" allowOverlap="1" wp14:anchorId="04F20888" wp14:editId="39B98F4B">
            <wp:simplePos x="0" y="0"/>
            <wp:positionH relativeFrom="column">
              <wp:posOffset>4325620</wp:posOffset>
            </wp:positionH>
            <wp:positionV relativeFrom="paragraph">
              <wp:posOffset>-803143</wp:posOffset>
            </wp:positionV>
            <wp:extent cx="2160000" cy="525600"/>
            <wp:effectExtent l="0" t="0" r="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5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auto"/>
          <w:sz w:val="32"/>
          <w:szCs w:val="32"/>
        </w:rPr>
        <w:br/>
      </w:r>
      <w:r w:rsidR="00AB7CFA">
        <w:rPr>
          <w:color w:val="auto"/>
          <w:sz w:val="32"/>
          <w:szCs w:val="32"/>
        </w:rPr>
        <w:t>Commissioned Services</w:t>
      </w:r>
    </w:p>
    <w:p w:rsidRPr="00586C64" w:rsidR="007B780C" w:rsidP="007B780C" w:rsidRDefault="007B780C" w14:paraId="3BE0BCBD" w14:textId="77777777">
      <w:pPr>
        <w:pStyle w:val="Heading3"/>
        <w:spacing w:line="276" w:lineRule="auto"/>
        <w:ind w:left="-794"/>
        <w:rPr>
          <w:b w:val="0"/>
          <w:bCs w:val="0"/>
          <w:color w:val="auto"/>
        </w:rPr>
      </w:pPr>
      <w:r w:rsidRPr="00063DF0">
        <w:rPr>
          <w:b w:val="0"/>
          <w:bCs w:val="0"/>
          <w:color w:val="auto"/>
        </w:rPr>
        <w:t xml:space="preserve">We have a range of day services in place across Newcastle that support older people, people with dementia, people with a learning disability and mental health groups. These services offer a range of types of support that may be either building based or in the community, some are more therapeutic, and others are linked to daily living skills or supporting employment </w:t>
      </w:r>
      <w:r w:rsidRPr="00DD4262">
        <w:rPr>
          <w:b w:val="0"/>
          <w:bCs w:val="0"/>
          <w:color w:val="auto"/>
        </w:rPr>
        <w:t>pathways.</w:t>
      </w:r>
      <w:r>
        <w:rPr>
          <w:b w:val="0"/>
          <w:bCs w:val="0"/>
          <w:color w:val="auto"/>
        </w:rPr>
        <w:t xml:space="preserve"> Newcastle’s net expenditure on Day Opportunities services </w:t>
      </w:r>
      <w:r w:rsidRPr="00063DF0">
        <w:rPr>
          <w:b w:val="0"/>
          <w:bCs w:val="0"/>
          <w:color w:val="auto"/>
        </w:rPr>
        <w:t xml:space="preserve">in 2022/2023 </w:t>
      </w:r>
      <w:r>
        <w:rPr>
          <w:b w:val="0"/>
          <w:bCs w:val="0"/>
          <w:color w:val="auto"/>
        </w:rPr>
        <w:t xml:space="preserve">was </w:t>
      </w:r>
      <w:r w:rsidRPr="00063DF0">
        <w:rPr>
          <w:b w:val="0"/>
          <w:bCs w:val="0"/>
          <w:color w:val="auto"/>
        </w:rPr>
        <w:t>£2,519,819</w:t>
      </w:r>
      <w:r>
        <w:rPr>
          <w:b w:val="0"/>
          <w:bCs w:val="0"/>
          <w:color w:val="auto"/>
        </w:rPr>
        <w:t>.</w:t>
      </w:r>
    </w:p>
    <w:p w:rsidRPr="00F9022E" w:rsidR="007B780C" w:rsidP="007B780C" w:rsidRDefault="007B780C" w14:paraId="37B577D3" w14:textId="77777777">
      <w:pPr>
        <w:pStyle w:val="Heading3"/>
        <w:spacing w:line="276" w:lineRule="auto"/>
        <w:ind w:left="-794"/>
      </w:pPr>
      <w:r>
        <w:rPr>
          <w:b w:val="0"/>
          <w:bCs w:val="0"/>
          <w:color w:val="auto"/>
        </w:rPr>
        <w:t xml:space="preserve">The </w:t>
      </w:r>
      <w:r w:rsidRPr="0014695B">
        <w:rPr>
          <w:color w:val="auto"/>
        </w:rPr>
        <w:t>Community Opportunities for Older People (006332)</w:t>
      </w:r>
      <w:r>
        <w:rPr>
          <w:b w:val="0"/>
          <w:bCs w:val="0"/>
          <w:color w:val="auto"/>
        </w:rPr>
        <w:t xml:space="preserve"> contract provides </w:t>
      </w:r>
      <w:r w:rsidRPr="0054229A">
        <w:rPr>
          <w:b w:val="0"/>
          <w:bCs w:val="0"/>
          <w:color w:val="auto"/>
        </w:rPr>
        <w:t>service</w:t>
      </w:r>
      <w:r>
        <w:rPr>
          <w:b w:val="0"/>
          <w:bCs w:val="0"/>
          <w:color w:val="auto"/>
        </w:rPr>
        <w:t xml:space="preserve">s </w:t>
      </w:r>
      <w:r w:rsidRPr="0054229A">
        <w:rPr>
          <w:b w:val="0"/>
          <w:bCs w:val="0"/>
          <w:color w:val="auto"/>
        </w:rPr>
        <w:t>to support people aged 55 and above who are eligible for care and</w:t>
      </w:r>
      <w:r>
        <w:rPr>
          <w:b w:val="0"/>
          <w:bCs w:val="0"/>
          <w:color w:val="auto"/>
        </w:rPr>
        <w:t xml:space="preserve"> </w:t>
      </w:r>
      <w:r w:rsidRPr="0054229A">
        <w:rPr>
          <w:b w:val="0"/>
          <w:bCs w:val="0"/>
          <w:color w:val="auto"/>
        </w:rPr>
        <w:t>may be at risk of isolation within their communities</w:t>
      </w:r>
      <w:r>
        <w:rPr>
          <w:b w:val="0"/>
          <w:bCs w:val="0"/>
          <w:color w:val="auto"/>
        </w:rPr>
        <w:t>. The contract value is £75,000 per zone (North, East, West</w:t>
      </w:r>
      <w:r w:rsidRPr="009F7A79">
        <w:rPr>
          <w:b w:val="0"/>
          <w:bCs w:val="0"/>
          <w:color w:val="auto"/>
        </w:rPr>
        <w:t xml:space="preserve">). The existing contract is due for renewal and the Council intend to re-commission Day Opportunities Services in 2024. </w:t>
      </w:r>
    </w:p>
    <w:p w:rsidR="007B780C" w:rsidP="007B780C" w:rsidRDefault="007B780C" w14:paraId="47C2B956" w14:textId="77777777">
      <w:pPr>
        <w:pStyle w:val="Heading3"/>
        <w:spacing w:line="276" w:lineRule="auto"/>
        <w:ind w:left="-794"/>
        <w:rPr>
          <w:b w:val="0"/>
          <w:bCs w:val="0"/>
          <w:color w:val="auto"/>
        </w:rPr>
      </w:pPr>
      <w:r w:rsidRPr="00B02D22">
        <w:rPr>
          <w:color w:val="auto"/>
        </w:rPr>
        <w:t>Contract</w:t>
      </w:r>
      <w:r>
        <w:rPr>
          <w:color w:val="auto"/>
        </w:rPr>
        <w:t xml:space="preserve"> Description</w:t>
      </w:r>
      <w:r w:rsidRPr="00B02D22">
        <w:rPr>
          <w:color w:val="auto"/>
        </w:rPr>
        <w:t>:</w:t>
      </w:r>
      <w:r>
        <w:rPr>
          <w:b w:val="0"/>
          <w:bCs w:val="0"/>
          <w:color w:val="auto"/>
        </w:rPr>
        <w:t xml:space="preserve"> </w:t>
      </w:r>
      <w:r w:rsidRPr="0054229A">
        <w:rPr>
          <w:b w:val="0"/>
          <w:bCs w:val="0"/>
          <w:color w:val="auto"/>
        </w:rPr>
        <w:t xml:space="preserve">The service model is designed to create </w:t>
      </w:r>
      <w:r>
        <w:rPr>
          <w:b w:val="0"/>
          <w:bCs w:val="0"/>
          <w:color w:val="auto"/>
        </w:rPr>
        <w:t>three</w:t>
      </w:r>
      <w:r w:rsidRPr="0054229A">
        <w:rPr>
          <w:b w:val="0"/>
          <w:bCs w:val="0"/>
          <w:color w:val="auto"/>
        </w:rPr>
        <w:t xml:space="preserve"> place-based </w:t>
      </w:r>
      <w:r w:rsidRPr="0054229A">
        <w:rPr>
          <w:color w:val="auto"/>
        </w:rPr>
        <w:t>Community Hives</w:t>
      </w:r>
      <w:r w:rsidRPr="0054229A">
        <w:rPr>
          <w:b w:val="0"/>
          <w:bCs w:val="0"/>
          <w:color w:val="auto"/>
        </w:rPr>
        <w:t xml:space="preserve"> in the North, East and West of the city. Each Hive will consist of one building-based day service (the ‘Base Service’ in each of 3 zones North/East/West), and one Chain Reaction and Lunch Links service (the ‘Community Service’) </w:t>
      </w:r>
      <w:r>
        <w:rPr>
          <w:b w:val="0"/>
          <w:bCs w:val="0"/>
          <w:color w:val="auto"/>
        </w:rPr>
        <w:t>in each of the</w:t>
      </w:r>
      <w:r w:rsidRPr="0054229A">
        <w:rPr>
          <w:b w:val="0"/>
          <w:bCs w:val="0"/>
          <w:color w:val="auto"/>
        </w:rPr>
        <w:t xml:space="preserve"> North/East/West zones. </w:t>
      </w:r>
    </w:p>
    <w:p w:rsidRPr="00A51864" w:rsidR="007B780C" w:rsidP="007B780C" w:rsidRDefault="007B780C" w14:paraId="144CF05C" w14:textId="77777777">
      <w:pPr>
        <w:pStyle w:val="Heading3"/>
        <w:spacing w:line="276" w:lineRule="auto"/>
        <w:ind w:left="-794"/>
        <w:rPr>
          <w:b w:val="0"/>
          <w:bCs w:val="0"/>
          <w:color w:val="auto"/>
        </w:rPr>
      </w:pPr>
      <w:r w:rsidRPr="00A51864">
        <w:rPr>
          <w:b w:val="0"/>
          <w:bCs w:val="0"/>
          <w:color w:val="auto"/>
        </w:rPr>
        <w:t>The three</w:t>
      </w:r>
      <w:r>
        <w:rPr>
          <w:color w:val="auto"/>
        </w:rPr>
        <w:t xml:space="preserve"> </w:t>
      </w:r>
      <w:r w:rsidRPr="00712E63">
        <w:rPr>
          <w:color w:val="auto"/>
        </w:rPr>
        <w:t>Base Services</w:t>
      </w:r>
      <w:r>
        <w:rPr>
          <w:b w:val="0"/>
          <w:bCs w:val="0"/>
          <w:color w:val="auto"/>
        </w:rPr>
        <w:t xml:space="preserve"> </w:t>
      </w:r>
      <w:r w:rsidRPr="00A51864">
        <w:rPr>
          <w:b w:val="0"/>
          <w:bCs w:val="0"/>
          <w:color w:val="auto"/>
        </w:rPr>
        <w:t>are listed below:</w:t>
      </w:r>
      <w:r w:rsidRPr="007A0051">
        <w:rPr>
          <w:b w:val="0"/>
          <w:bCs w:val="0"/>
          <w:noProof/>
          <w:color w:val="auto"/>
        </w:rPr>
        <w:t xml:space="preserve"> </w:t>
      </w:r>
      <w:r w:rsidRPr="00A51864">
        <w:rPr>
          <w:b w:val="0"/>
          <w:bCs w:val="0"/>
          <w:color w:val="auto"/>
        </w:rPr>
        <w:t xml:space="preserve"> </w:t>
      </w:r>
    </w:p>
    <w:p w:rsidRPr="00E1172D" w:rsidR="007B780C" w:rsidP="007B780C" w:rsidRDefault="007B780C" w14:paraId="66ADC446" w14:textId="77777777">
      <w:pPr>
        <w:pStyle w:val="Heading3"/>
        <w:spacing w:line="276" w:lineRule="auto"/>
        <w:ind w:left="-794"/>
        <w:rPr>
          <w:b w:val="0"/>
          <w:bCs w:val="0"/>
          <w:color w:val="auto"/>
        </w:rPr>
      </w:pPr>
      <w:r w:rsidRPr="00583F0E">
        <w:rPr>
          <w:b w:val="0"/>
          <w:bCs w:val="0"/>
          <w:color w:val="auto"/>
        </w:rPr>
        <w:t>The Grange</w:t>
      </w:r>
      <w:r>
        <w:rPr>
          <w:b w:val="0"/>
          <w:bCs w:val="0"/>
          <w:color w:val="auto"/>
        </w:rPr>
        <w:t xml:space="preserve"> - D</w:t>
      </w:r>
      <w:r w:rsidRPr="00E1172D">
        <w:rPr>
          <w:b w:val="0"/>
          <w:bCs w:val="0"/>
          <w:color w:val="auto"/>
        </w:rPr>
        <w:t xml:space="preserve">ay </w:t>
      </w:r>
      <w:r>
        <w:rPr>
          <w:b w:val="0"/>
          <w:bCs w:val="0"/>
          <w:color w:val="auto"/>
        </w:rPr>
        <w:t>c</w:t>
      </w:r>
      <w:r w:rsidRPr="00E1172D">
        <w:rPr>
          <w:b w:val="0"/>
          <w:bCs w:val="0"/>
          <w:color w:val="auto"/>
        </w:rPr>
        <w:t xml:space="preserve">entre services for older people: </w:t>
      </w:r>
      <w:hyperlink w:history="1" r:id="rId9">
        <w:r w:rsidRPr="00E1172D">
          <w:rPr>
            <w:rStyle w:val="Hyperlink"/>
            <w:b w:val="0"/>
            <w:bCs w:val="0"/>
          </w:rPr>
          <w:t>The Grange Centre - Information Now</w:t>
        </w:r>
      </w:hyperlink>
    </w:p>
    <w:p w:rsidRPr="00636B76" w:rsidR="007B780C" w:rsidP="007B780C" w:rsidRDefault="007B780C" w14:paraId="334F9CE1" w14:textId="77777777">
      <w:pPr>
        <w:pStyle w:val="Heading3"/>
        <w:spacing w:line="276" w:lineRule="auto"/>
        <w:ind w:left="-794"/>
        <w:rPr>
          <w:b w:val="0"/>
          <w:bCs w:val="0"/>
          <w:color w:val="auto"/>
        </w:rPr>
      </w:pPr>
      <w:r w:rsidRPr="00583F0E">
        <w:rPr>
          <w:b w:val="0"/>
          <w:bCs w:val="0"/>
          <w:color w:val="auto"/>
        </w:rPr>
        <w:t xml:space="preserve">St Anthony of Padua </w:t>
      </w:r>
      <w:r>
        <w:rPr>
          <w:b w:val="0"/>
          <w:bCs w:val="0"/>
          <w:color w:val="auto"/>
        </w:rPr>
        <w:t>- D</w:t>
      </w:r>
      <w:r w:rsidRPr="00583F0E">
        <w:rPr>
          <w:b w:val="0"/>
          <w:bCs w:val="0"/>
          <w:color w:val="auto"/>
        </w:rPr>
        <w:t xml:space="preserve">ay </w:t>
      </w:r>
      <w:r>
        <w:rPr>
          <w:b w:val="0"/>
          <w:bCs w:val="0"/>
          <w:color w:val="auto"/>
        </w:rPr>
        <w:t xml:space="preserve">centre </w:t>
      </w:r>
      <w:r w:rsidRPr="00583F0E">
        <w:rPr>
          <w:b w:val="0"/>
          <w:bCs w:val="0"/>
          <w:color w:val="auto"/>
        </w:rPr>
        <w:t>services for older people and those with physical disabilities or mental health needs</w:t>
      </w:r>
      <w:r>
        <w:rPr>
          <w:b w:val="0"/>
          <w:bCs w:val="0"/>
          <w:color w:val="auto"/>
        </w:rPr>
        <w:t xml:space="preserve">: </w:t>
      </w:r>
      <w:hyperlink w:history="1" r:id="rId10">
        <w:r w:rsidRPr="00636B76">
          <w:rPr>
            <w:rStyle w:val="Hyperlink"/>
            <w:b w:val="0"/>
            <w:bCs w:val="0"/>
          </w:rPr>
          <w:t>St Anthony of Padua Community Association - Information Now</w:t>
        </w:r>
      </w:hyperlink>
    </w:p>
    <w:p w:rsidR="007B780C" w:rsidP="007B780C" w:rsidRDefault="007B780C" w14:paraId="1042295A" w14:textId="77777777" w14:noSpellErr="1">
      <w:pPr>
        <w:pStyle w:val="Heading3"/>
        <w:spacing w:line="276" w:lineRule="auto"/>
        <w:ind w:left="-794"/>
        <w:rPr>
          <w:b w:val="0"/>
          <w:bCs w:val="0"/>
        </w:rPr>
      </w:pPr>
      <w:r w:rsidRPr="00583F0E" w:rsidR="007B780C">
        <w:rPr>
          <w:b w:val="0"/>
          <w:bCs w:val="0"/>
          <w:color w:val="auto"/>
        </w:rPr>
        <w:t xml:space="preserve">The Bradbury Centre </w:t>
      </w:r>
      <w:r w:rsidR="007B780C">
        <w:rPr>
          <w:b w:val="0"/>
          <w:bCs w:val="0"/>
          <w:color w:val="auto"/>
        </w:rPr>
        <w:t xml:space="preserve">– Day centre </w:t>
      </w:r>
      <w:r w:rsidRPr="00583F0E" w:rsidR="007B780C">
        <w:rPr>
          <w:b w:val="0"/>
          <w:bCs w:val="0"/>
          <w:color w:val="auto"/>
        </w:rPr>
        <w:t>services for older people and people with dementia</w:t>
      </w:r>
      <w:r w:rsidR="007B780C">
        <w:rPr>
          <w:b w:val="0"/>
          <w:bCs w:val="0"/>
          <w:color w:val="auto"/>
        </w:rPr>
        <w:t xml:space="preserve">: </w:t>
      </w:r>
      <w:hyperlink w:history="1" r:id="R2ad8e581e41d4849">
        <w:r w:rsidRPr="00636B76" w:rsidR="007B780C">
          <w:rPr>
            <w:rStyle w:val="Hyperlink"/>
            <w:b w:val="0"/>
            <w:bCs w:val="0"/>
          </w:rPr>
          <w:t>Bradbury Centre - Information Now</w:t>
        </w:r>
      </w:hyperlink>
    </w:p>
    <w:p w:rsidR="007B780C" w:rsidP="007B780C" w:rsidRDefault="007B780C" w14:paraId="55390B5B" w14:textId="77777777">
      <w:pPr>
        <w:pStyle w:val="Heading3"/>
        <w:spacing w:line="276" w:lineRule="auto"/>
        <w:ind w:left="-794"/>
        <w:rPr>
          <w:b w:val="0"/>
          <w:bCs w:val="0"/>
        </w:rPr>
      </w:pPr>
      <w:r>
        <w:rPr>
          <w:b w:val="0"/>
          <w:bCs w:val="0"/>
          <w:color w:val="auto"/>
        </w:rPr>
        <w:t>The</w:t>
      </w:r>
      <w:r w:rsidRPr="00063DF0">
        <w:rPr>
          <w:b w:val="0"/>
          <w:bCs w:val="0"/>
          <w:color w:val="auto"/>
        </w:rPr>
        <w:t xml:space="preserve"> three organisations</w:t>
      </w:r>
      <w:r>
        <w:rPr>
          <w:b w:val="0"/>
          <w:bCs w:val="0"/>
          <w:color w:val="auto"/>
        </w:rPr>
        <w:t xml:space="preserve"> providing Community Support (Chain Reaction) are:</w:t>
      </w:r>
      <w:r w:rsidRPr="00063DF0">
        <w:rPr>
          <w:b w:val="0"/>
          <w:bCs w:val="0"/>
          <w:noProof/>
          <w:color w:val="auto"/>
        </w:rPr>
        <w:t xml:space="preserve"> </w:t>
      </w:r>
    </w:p>
    <w:p w:rsidR="007B780C" w:rsidP="007B780C" w:rsidRDefault="007B780C" w14:paraId="08757B9A" w14:textId="77777777">
      <w:pPr>
        <w:pStyle w:val="Heading3"/>
        <w:spacing w:line="276" w:lineRule="auto"/>
        <w:ind w:left="-794"/>
        <w:rPr>
          <w:b w:val="0"/>
          <w:bCs w:val="0"/>
        </w:rPr>
      </w:pPr>
      <w:r w:rsidRPr="004D6516">
        <w:rPr>
          <w:b w:val="0"/>
          <w:bCs w:val="0"/>
          <w:color w:val="auto"/>
        </w:rPr>
        <w:t>Search (West Newcastle)</w:t>
      </w:r>
    </w:p>
    <w:p w:rsidR="007B780C" w:rsidP="007B780C" w:rsidRDefault="007B780C" w14:paraId="1E1378BF" w14:textId="77777777">
      <w:pPr>
        <w:pStyle w:val="Heading3"/>
        <w:spacing w:line="276" w:lineRule="auto"/>
        <w:ind w:left="-794"/>
        <w:rPr>
          <w:b w:val="0"/>
          <w:bCs w:val="0"/>
        </w:rPr>
      </w:pPr>
      <w:r w:rsidRPr="004D6516">
        <w:rPr>
          <w:b w:val="0"/>
          <w:bCs w:val="0"/>
          <w:color w:val="auto"/>
        </w:rPr>
        <w:t>Keyring (East Newcastle)</w:t>
      </w:r>
    </w:p>
    <w:p w:rsidRPr="006A3906" w:rsidR="007B780C" w:rsidP="007B780C" w:rsidRDefault="007B780C" w14:paraId="6C0BFAE5" w14:textId="77777777">
      <w:pPr>
        <w:pStyle w:val="Heading3"/>
        <w:spacing w:line="276" w:lineRule="auto"/>
        <w:ind w:left="-794"/>
        <w:rPr>
          <w:b w:val="0"/>
          <w:bCs w:val="0"/>
        </w:rPr>
      </w:pPr>
      <w:r w:rsidRPr="004D6516">
        <w:rPr>
          <w:b w:val="0"/>
          <w:bCs w:val="0"/>
          <w:color w:val="auto"/>
        </w:rPr>
        <w:t>Mental Health Concern (</w:t>
      </w:r>
      <w:proofErr w:type="spellStart"/>
      <w:r w:rsidRPr="004D6516">
        <w:rPr>
          <w:b w:val="0"/>
          <w:bCs w:val="0"/>
          <w:color w:val="auto"/>
        </w:rPr>
        <w:t>Everyturn</w:t>
      </w:r>
      <w:proofErr w:type="spellEnd"/>
      <w:r w:rsidRPr="004D6516">
        <w:rPr>
          <w:b w:val="0"/>
          <w:bCs w:val="0"/>
          <w:color w:val="auto"/>
        </w:rPr>
        <w:t>) (North and City Centre)</w:t>
      </w:r>
    </w:p>
    <w:p w:rsidRPr="006A3906" w:rsidR="007B780C" w:rsidP="007B780C" w:rsidRDefault="007B780C" w14:paraId="22A51649" w14:textId="77777777">
      <w:pPr>
        <w:pStyle w:val="Heading3"/>
        <w:spacing w:line="276" w:lineRule="auto"/>
        <w:ind w:left="-794"/>
        <w:rPr>
          <w:b w:val="0"/>
          <w:bCs w:val="0"/>
          <w:color w:val="auto"/>
        </w:rPr>
      </w:pPr>
      <w:r w:rsidRPr="00214394">
        <w:rPr>
          <w:color w:val="auto"/>
        </w:rPr>
        <w:t>Providers</w:t>
      </w:r>
      <w:r>
        <w:rPr>
          <w:color w:val="auto"/>
        </w:rPr>
        <w:t xml:space="preserve">: </w:t>
      </w:r>
      <w:r w:rsidRPr="006A3906">
        <w:rPr>
          <w:b w:val="0"/>
          <w:bCs w:val="0"/>
          <w:color w:val="auto"/>
        </w:rPr>
        <w:t xml:space="preserve">For information on all commissioned Day Opportunities services: </w:t>
      </w:r>
      <w:hyperlink w:history="1" r:id="rId12">
        <w:r w:rsidRPr="006A3906">
          <w:rPr>
            <w:rStyle w:val="Hyperlink"/>
            <w:b w:val="0"/>
            <w:bCs w:val="0"/>
          </w:rPr>
          <w:t>Day centres and services - Information Now</w:t>
        </w:r>
      </w:hyperlink>
    </w:p>
    <w:p w:rsidRPr="00486EAB" w:rsidR="00D514B3" w:rsidP="00BE3832" w:rsidRDefault="00D514B3" w14:paraId="08253B07" w14:textId="336F1F7A">
      <w:pPr>
        <w:spacing w:line="276" w:lineRule="auto"/>
        <w:ind w:left="-794"/>
        <w:rPr>
          <w:b/>
          <w:bCs/>
          <w:color w:val="auto"/>
          <w:sz w:val="32"/>
          <w:szCs w:val="32"/>
        </w:rPr>
      </w:pPr>
      <w:r w:rsidRPr="00486EAB">
        <w:rPr>
          <w:b/>
          <w:bCs/>
          <w:color w:val="auto"/>
          <w:sz w:val="32"/>
          <w:szCs w:val="32"/>
        </w:rPr>
        <w:t>Legislation</w:t>
      </w:r>
    </w:p>
    <w:p w:rsidRPr="00063DF0" w:rsidR="00D514B3" w:rsidP="00486EAB" w:rsidRDefault="00EA080D" w14:paraId="5EF7F444" w14:textId="3EF5CB09">
      <w:pPr>
        <w:spacing w:line="276" w:lineRule="auto"/>
        <w:ind w:left="-794"/>
        <w:rPr>
          <w:rStyle w:val="Hyperlink"/>
          <w:color w:val="auto"/>
        </w:rPr>
      </w:pPr>
      <w:hyperlink w:history="1">
        <w:r w:rsidRPr="00063DF0" w:rsidR="00D514B3">
          <w:rPr>
            <w:rStyle w:val="Hyperlink"/>
            <w:color w:val="auto"/>
          </w:rPr>
          <w:t>People at the Heart of Care: adult social care reform - GOV.UK (www.gov.uk)</w:t>
        </w:r>
      </w:hyperlink>
    </w:p>
    <w:p w:rsidRPr="00063DF0" w:rsidR="00D514B3" w:rsidP="00BE3832" w:rsidRDefault="00EA080D" w14:paraId="0A58D5F7" w14:textId="3DB50E89">
      <w:pPr>
        <w:spacing w:line="276" w:lineRule="auto"/>
        <w:ind w:left="-794"/>
        <w:rPr>
          <w:color w:val="auto"/>
          <w:u w:val="single"/>
        </w:rPr>
      </w:pPr>
      <w:hyperlink w:history="1" r:id="rId13">
        <w:r w:rsidRPr="00063DF0" w:rsidR="00D514B3">
          <w:rPr>
            <w:rStyle w:val="Hyperlink"/>
            <w:color w:val="auto"/>
          </w:rPr>
          <w:t>ADASS Coronavirus Survey 2020, published Aug 21</w:t>
        </w:r>
      </w:hyperlink>
    </w:p>
    <w:p w:rsidRPr="00063DF0" w:rsidR="00D514B3" w:rsidP="00BE3832" w:rsidRDefault="00EA080D" w14:paraId="0D1511C4" w14:textId="3F1ED237">
      <w:pPr>
        <w:spacing w:line="276" w:lineRule="auto"/>
        <w:ind w:left="-794"/>
        <w:rPr>
          <w:color w:val="auto"/>
          <w:u w:val="single"/>
        </w:rPr>
      </w:pPr>
      <w:hyperlink w:history="1" r:id="rId14">
        <w:r w:rsidRPr="00063DF0" w:rsidR="00D514B3">
          <w:rPr>
            <w:rStyle w:val="Hyperlink"/>
            <w:color w:val="auto"/>
          </w:rPr>
          <w:t>Care Act 2014 (legislation.gov.uk)</w:t>
        </w:r>
      </w:hyperlink>
    </w:p>
    <w:p w:rsidRPr="00063DF0" w:rsidR="00D514B3" w:rsidP="00BE3832" w:rsidRDefault="00972353" w14:paraId="7C57460B" w14:textId="4CFE97E4">
      <w:pPr>
        <w:spacing w:line="276" w:lineRule="auto"/>
        <w:ind w:left="-794"/>
        <w:rPr>
          <w:color w:val="auto"/>
        </w:rPr>
      </w:pPr>
      <w:r w:rsidRPr="00063DF0">
        <w:rPr>
          <w:b/>
          <w:bCs/>
          <w:noProof/>
          <w:color w:val="auto"/>
        </w:rPr>
        <w:drawing>
          <wp:anchor distT="0" distB="0" distL="114300" distR="114300" simplePos="0" relativeHeight="251674624" behindDoc="0" locked="0" layoutInCell="1" allowOverlap="1" wp14:anchorId="7AE92D04" wp14:editId="4FBE76C6">
            <wp:simplePos x="0" y="0"/>
            <wp:positionH relativeFrom="margin">
              <wp:posOffset>-419100</wp:posOffset>
            </wp:positionH>
            <wp:positionV relativeFrom="page">
              <wp:posOffset>9590405</wp:posOffset>
            </wp:positionV>
            <wp:extent cx="6919200" cy="1083600"/>
            <wp:effectExtent l="0" t="0" r="0" b="254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200" cy="10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w:history="1" r:id="rId15">
        <w:r w:rsidRPr="00063DF0" w:rsidR="00D514B3">
          <w:rPr>
            <w:rStyle w:val="Hyperlink"/>
            <w:color w:val="auto"/>
          </w:rPr>
          <w:t>Care Standards Act 2000 (legislation.gov.uk)</w:t>
        </w:r>
      </w:hyperlink>
    </w:p>
    <w:p w:rsidRPr="00063DF0" w:rsidR="00D514B3" w:rsidP="00BE3832" w:rsidRDefault="00EA080D" w14:paraId="3B271CE4" w14:textId="6C776B8E">
      <w:pPr>
        <w:spacing w:line="276" w:lineRule="auto"/>
        <w:ind w:left="-794"/>
        <w:rPr>
          <w:color w:val="auto"/>
          <w:u w:val="single"/>
        </w:rPr>
      </w:pPr>
      <w:hyperlink w:history="1" r:id="rId16">
        <w:r w:rsidRPr="00063DF0" w:rsidR="00D514B3">
          <w:rPr>
            <w:rStyle w:val="Hyperlink"/>
            <w:color w:val="auto"/>
          </w:rPr>
          <w:t>Cormac Russell - Nurture Development</w:t>
        </w:r>
      </w:hyperlink>
    </w:p>
    <w:p w:rsidRPr="00063DF0" w:rsidR="00D514B3" w:rsidP="00BE3832" w:rsidRDefault="00EA080D" w14:paraId="668C2B45" w14:textId="1B191433">
      <w:pPr>
        <w:spacing w:line="276" w:lineRule="auto"/>
        <w:ind w:left="-794"/>
        <w:rPr>
          <w:color w:val="auto"/>
          <w:u w:val="single"/>
        </w:rPr>
      </w:pPr>
      <w:hyperlink w:history="1">
        <w:r w:rsidRPr="00063DF0" w:rsidR="00D514B3">
          <w:rPr>
            <w:rStyle w:val="Hyperlink"/>
            <w:color w:val="auto"/>
          </w:rPr>
          <w:t>Healthy ageing: applying all our health - GOV.UK (www.gov.uk)</w:t>
        </w:r>
      </w:hyperlink>
    </w:p>
    <w:p w:rsidRPr="00486EAB" w:rsidR="00E502D3" w:rsidP="00486EAB" w:rsidRDefault="00EA080D" w14:paraId="576FB1F1" w14:textId="232E945E">
      <w:pPr>
        <w:spacing w:line="276" w:lineRule="auto"/>
        <w:ind w:left="-794"/>
        <w:rPr>
          <w:color w:val="auto"/>
          <w:u w:val="single"/>
        </w:rPr>
      </w:pPr>
      <w:hyperlink w:history="1" r:id="rId17">
        <w:r w:rsidRPr="00063DF0" w:rsidR="00D514B3">
          <w:rPr>
            <w:rStyle w:val="Hyperlink"/>
            <w:color w:val="auto"/>
          </w:rPr>
          <w:t>Health and Care Bill - Parliamentary Bills - UK Parliament</w:t>
        </w:r>
      </w:hyperlink>
      <w:r w:rsidRPr="00972353" w:rsidR="00972353">
        <w:rPr>
          <w:b/>
          <w:bCs/>
          <w:noProof/>
          <w:color w:val="auto"/>
        </w:rPr>
        <w:t xml:space="preserve"> </w:t>
      </w:r>
    </w:p>
    <w:sectPr w:rsidRPr="00486EAB" w:rsidR="00E502D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5356" w:rsidP="00383403" w:rsidRDefault="00805356" w14:paraId="20F09E5C" w14:textId="77777777">
      <w:pPr>
        <w:spacing w:after="0" w:line="240" w:lineRule="auto"/>
      </w:pPr>
      <w:r>
        <w:separator/>
      </w:r>
    </w:p>
  </w:endnote>
  <w:endnote w:type="continuationSeparator" w:id="0">
    <w:p w:rsidR="00805356" w:rsidP="00383403" w:rsidRDefault="00805356" w14:paraId="4643FD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5356" w:rsidP="00383403" w:rsidRDefault="00805356" w14:paraId="4C8AE14F" w14:textId="77777777">
      <w:pPr>
        <w:spacing w:after="0" w:line="240" w:lineRule="auto"/>
      </w:pPr>
      <w:r>
        <w:separator/>
      </w:r>
    </w:p>
  </w:footnote>
  <w:footnote w:type="continuationSeparator" w:id="0">
    <w:p w:rsidR="00805356" w:rsidP="00383403" w:rsidRDefault="00805356" w14:paraId="20DF109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198C"/>
    <w:multiLevelType w:val="hybridMultilevel"/>
    <w:tmpl w:val="C4629EA2"/>
    <w:lvl w:ilvl="0" w:tplc="13809536">
      <w:numFmt w:val="bullet"/>
      <w:lvlText w:val="-"/>
      <w:lvlJc w:val="left"/>
      <w:pPr>
        <w:ind w:left="-434" w:hanging="360"/>
      </w:pPr>
      <w:rPr>
        <w:rFonts w:hint="default" w:ascii="Poppins" w:hAnsi="Poppins" w:cs="Poppins" w:eastAsiaTheme="minorHAnsi"/>
      </w:rPr>
    </w:lvl>
    <w:lvl w:ilvl="1" w:tplc="08090003" w:tentative="1">
      <w:start w:val="1"/>
      <w:numFmt w:val="bullet"/>
      <w:lvlText w:val="o"/>
      <w:lvlJc w:val="left"/>
      <w:pPr>
        <w:ind w:left="28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00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172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44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16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388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60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326" w:hanging="360"/>
      </w:pPr>
      <w:rPr>
        <w:rFonts w:hint="default" w:ascii="Wingdings" w:hAnsi="Wingdings"/>
      </w:rPr>
    </w:lvl>
  </w:abstractNum>
  <w:abstractNum w:abstractNumId="1" w15:restartNumberingAfterBreak="0">
    <w:nsid w:val="0CB47963"/>
    <w:multiLevelType w:val="hybridMultilevel"/>
    <w:tmpl w:val="D2A6B540"/>
    <w:lvl w:ilvl="0" w:tplc="F8744418">
      <w:numFmt w:val="bullet"/>
      <w:lvlText w:val="-"/>
      <w:lvlJc w:val="left"/>
      <w:pPr>
        <w:ind w:left="-434" w:hanging="360"/>
      </w:pPr>
      <w:rPr>
        <w:rFonts w:hint="default" w:ascii="Poppins" w:hAnsi="Poppins" w:cs="Poppins" w:eastAsiaTheme="minorHAnsi"/>
      </w:rPr>
    </w:lvl>
    <w:lvl w:ilvl="1" w:tplc="08090003" w:tentative="1">
      <w:start w:val="1"/>
      <w:numFmt w:val="bullet"/>
      <w:lvlText w:val="o"/>
      <w:lvlJc w:val="left"/>
      <w:pPr>
        <w:ind w:left="28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00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172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44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16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388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60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326" w:hanging="360"/>
      </w:pPr>
      <w:rPr>
        <w:rFonts w:hint="default" w:ascii="Wingdings" w:hAnsi="Wingdings"/>
      </w:rPr>
    </w:lvl>
  </w:abstractNum>
  <w:abstractNum w:abstractNumId="2" w15:restartNumberingAfterBreak="0">
    <w:nsid w:val="3020025D"/>
    <w:multiLevelType w:val="hybridMultilevel"/>
    <w:tmpl w:val="B720CDF0"/>
    <w:lvl w:ilvl="0" w:tplc="08090001">
      <w:start w:val="1"/>
      <w:numFmt w:val="bullet"/>
      <w:lvlText w:val=""/>
      <w:lvlJc w:val="left"/>
      <w:pPr>
        <w:ind w:left="-7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64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36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08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0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52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24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96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686" w:hanging="360"/>
      </w:pPr>
      <w:rPr>
        <w:rFonts w:hint="default" w:ascii="Wingdings" w:hAnsi="Wingdings"/>
      </w:rPr>
    </w:lvl>
  </w:abstractNum>
  <w:num w:numId="1" w16cid:durableId="1292900914">
    <w:abstractNumId w:val="2"/>
  </w:num>
  <w:num w:numId="2" w16cid:durableId="1433740360">
    <w:abstractNumId w:val="0"/>
  </w:num>
  <w:num w:numId="3" w16cid:durableId="103149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D5"/>
    <w:rsid w:val="000420D5"/>
    <w:rsid w:val="00063DF0"/>
    <w:rsid w:val="000747C7"/>
    <w:rsid w:val="000C2D11"/>
    <w:rsid w:val="000F1B22"/>
    <w:rsid w:val="000F7455"/>
    <w:rsid w:val="00122587"/>
    <w:rsid w:val="00126E85"/>
    <w:rsid w:val="0014695B"/>
    <w:rsid w:val="00151027"/>
    <w:rsid w:val="0016013F"/>
    <w:rsid w:val="001716D7"/>
    <w:rsid w:val="001E73DE"/>
    <w:rsid w:val="002104DA"/>
    <w:rsid w:val="00214394"/>
    <w:rsid w:val="00220196"/>
    <w:rsid w:val="00267CAC"/>
    <w:rsid w:val="002A0C65"/>
    <w:rsid w:val="002A46D6"/>
    <w:rsid w:val="002A68FC"/>
    <w:rsid w:val="002D0EEB"/>
    <w:rsid w:val="002E4077"/>
    <w:rsid w:val="002F2D56"/>
    <w:rsid w:val="00380735"/>
    <w:rsid w:val="00383403"/>
    <w:rsid w:val="00397BFC"/>
    <w:rsid w:val="00411852"/>
    <w:rsid w:val="00486EAB"/>
    <w:rsid w:val="004C34BA"/>
    <w:rsid w:val="004C429E"/>
    <w:rsid w:val="004C544F"/>
    <w:rsid w:val="004D6516"/>
    <w:rsid w:val="0050044E"/>
    <w:rsid w:val="00511AC9"/>
    <w:rsid w:val="00515F08"/>
    <w:rsid w:val="0054229A"/>
    <w:rsid w:val="00553AAC"/>
    <w:rsid w:val="00555F20"/>
    <w:rsid w:val="00571BB7"/>
    <w:rsid w:val="00583F0E"/>
    <w:rsid w:val="00587158"/>
    <w:rsid w:val="005B1294"/>
    <w:rsid w:val="005F5F3D"/>
    <w:rsid w:val="00612042"/>
    <w:rsid w:val="00636B76"/>
    <w:rsid w:val="006575FF"/>
    <w:rsid w:val="006A29A5"/>
    <w:rsid w:val="006A3906"/>
    <w:rsid w:val="006B48CB"/>
    <w:rsid w:val="006D37F6"/>
    <w:rsid w:val="006E251F"/>
    <w:rsid w:val="006E26EC"/>
    <w:rsid w:val="006E3B1E"/>
    <w:rsid w:val="00712E63"/>
    <w:rsid w:val="0071574F"/>
    <w:rsid w:val="00752295"/>
    <w:rsid w:val="00757A38"/>
    <w:rsid w:val="007A07BC"/>
    <w:rsid w:val="007B3BE1"/>
    <w:rsid w:val="007B780C"/>
    <w:rsid w:val="007F6C2A"/>
    <w:rsid w:val="00805356"/>
    <w:rsid w:val="0089397C"/>
    <w:rsid w:val="008E1FB1"/>
    <w:rsid w:val="00920666"/>
    <w:rsid w:val="009317B4"/>
    <w:rsid w:val="0093638E"/>
    <w:rsid w:val="009605F9"/>
    <w:rsid w:val="00972353"/>
    <w:rsid w:val="009A48AE"/>
    <w:rsid w:val="009B1CE6"/>
    <w:rsid w:val="009B3746"/>
    <w:rsid w:val="009D2089"/>
    <w:rsid w:val="009F2A29"/>
    <w:rsid w:val="009F3FFA"/>
    <w:rsid w:val="00A17583"/>
    <w:rsid w:val="00A34409"/>
    <w:rsid w:val="00A41FB3"/>
    <w:rsid w:val="00A471D5"/>
    <w:rsid w:val="00A51864"/>
    <w:rsid w:val="00A70209"/>
    <w:rsid w:val="00A74EBA"/>
    <w:rsid w:val="00A92A16"/>
    <w:rsid w:val="00A95366"/>
    <w:rsid w:val="00AB65D0"/>
    <w:rsid w:val="00AB7CFA"/>
    <w:rsid w:val="00AF6F93"/>
    <w:rsid w:val="00B02D22"/>
    <w:rsid w:val="00B22462"/>
    <w:rsid w:val="00B310FF"/>
    <w:rsid w:val="00B65CC7"/>
    <w:rsid w:val="00B80EDD"/>
    <w:rsid w:val="00BD7CDF"/>
    <w:rsid w:val="00BE3832"/>
    <w:rsid w:val="00BF1818"/>
    <w:rsid w:val="00C14B0C"/>
    <w:rsid w:val="00C206BC"/>
    <w:rsid w:val="00C3606B"/>
    <w:rsid w:val="00C61AE4"/>
    <w:rsid w:val="00C64EAF"/>
    <w:rsid w:val="00C808AA"/>
    <w:rsid w:val="00CB273C"/>
    <w:rsid w:val="00CD0A1E"/>
    <w:rsid w:val="00CE1F4D"/>
    <w:rsid w:val="00D07379"/>
    <w:rsid w:val="00D15062"/>
    <w:rsid w:val="00D4741A"/>
    <w:rsid w:val="00D514B3"/>
    <w:rsid w:val="00D877DB"/>
    <w:rsid w:val="00DB6DCE"/>
    <w:rsid w:val="00DC3D58"/>
    <w:rsid w:val="00DC5DFE"/>
    <w:rsid w:val="00DC7815"/>
    <w:rsid w:val="00DD4262"/>
    <w:rsid w:val="00DD4403"/>
    <w:rsid w:val="00DF64D3"/>
    <w:rsid w:val="00E1172D"/>
    <w:rsid w:val="00E14819"/>
    <w:rsid w:val="00E14CA4"/>
    <w:rsid w:val="00E21996"/>
    <w:rsid w:val="00E502D3"/>
    <w:rsid w:val="00EA080D"/>
    <w:rsid w:val="00EC1884"/>
    <w:rsid w:val="00F111D0"/>
    <w:rsid w:val="00F24CF5"/>
    <w:rsid w:val="00F279A8"/>
    <w:rsid w:val="00F355C7"/>
    <w:rsid w:val="00F37482"/>
    <w:rsid w:val="00F410E9"/>
    <w:rsid w:val="00F55B1C"/>
    <w:rsid w:val="00F74D92"/>
    <w:rsid w:val="3EEB7A95"/>
    <w:rsid w:val="458B9A54"/>
    <w:rsid w:val="65D4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."/>
  <w:listSeparator w:val=","/>
  <w14:docId w14:val="6F6F59A6"/>
  <w15:chartTrackingRefBased/>
  <w15:docId w15:val="{F2EBA617-19BA-4AFF-8304-2D814805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4403"/>
    <w:pPr>
      <w:spacing w:after="240" w:line="288" w:lineRule="auto"/>
      <w:jc w:val="both"/>
    </w:pPr>
    <w:rPr>
      <w:rFonts w:ascii="Poppins" w:hAnsi="Poppins" w:cs="Poppins"/>
      <w:color w:val="30303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403"/>
    <w:pPr>
      <w:keepNext/>
      <w:keepLines/>
      <w:spacing w:before="120" w:line="240" w:lineRule="auto"/>
      <w:jc w:val="left"/>
      <w:outlineLvl w:val="0"/>
    </w:pPr>
    <w:rPr>
      <w:rFonts w:eastAsiaTheme="majorEastAsia"/>
      <w:b/>
      <w:bCs/>
      <w:color w:val="CE0F69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403"/>
    <w:pPr>
      <w:keepNext/>
      <w:keepLines/>
      <w:spacing w:before="120" w:line="240" w:lineRule="auto"/>
      <w:jc w:val="left"/>
      <w:outlineLvl w:val="1"/>
    </w:pPr>
    <w:rPr>
      <w:rFonts w:eastAsiaTheme="majorEastAsia"/>
      <w:color w:val="CE0F6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403"/>
    <w:pPr>
      <w:spacing w:before="120" w:line="240" w:lineRule="auto"/>
      <w:jc w:val="left"/>
      <w:outlineLvl w:val="2"/>
    </w:pPr>
    <w:rPr>
      <w:b/>
      <w:bCs/>
      <w:color w:val="CE0F6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D4403"/>
    <w:rPr>
      <w:rFonts w:ascii="Poppins" w:hAnsi="Poppins" w:cs="Poppins" w:eastAsiaTheme="majorEastAsia"/>
      <w:b/>
      <w:bCs/>
      <w:color w:val="CE0F69"/>
      <w:sz w:val="44"/>
      <w:szCs w:val="44"/>
    </w:rPr>
  </w:style>
  <w:style w:type="character" w:styleId="Heading2Char" w:customStyle="1">
    <w:name w:val="Heading 2 Char"/>
    <w:basedOn w:val="DefaultParagraphFont"/>
    <w:link w:val="Heading2"/>
    <w:uiPriority w:val="9"/>
    <w:rsid w:val="00DD4403"/>
    <w:rPr>
      <w:rFonts w:ascii="Poppins" w:hAnsi="Poppins" w:cs="Poppins" w:eastAsiaTheme="majorEastAsia"/>
      <w:color w:val="CE0F69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DD4403"/>
    <w:rPr>
      <w:rFonts w:ascii="Poppins" w:hAnsi="Poppins" w:cs="Poppins"/>
      <w:b/>
      <w:bCs/>
      <w:color w:val="CE0F69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403"/>
    <w:rPr>
      <w:color w:val="CE0F69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40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83403"/>
    <w:rPr>
      <w:rFonts w:ascii="Poppins" w:hAnsi="Poppins" w:cs="Poppins"/>
      <w:color w:val="30303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40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83403"/>
    <w:rPr>
      <w:rFonts w:ascii="Poppins" w:hAnsi="Poppins" w:cs="Poppins"/>
      <w:color w:val="30303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14B3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yperlink" Target="https://www.adass.org.uk/media/7967/adass-coronavirus-survey-report-2020-no-embargo.pdf" TargetMode="Externa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customXml" Target="../customXml/item2.xml" Id="rId21" /><Relationship Type="http://schemas.openxmlformats.org/officeDocument/2006/relationships/image" Target="media/image1.emf" Id="rId7" /><Relationship Type="http://schemas.openxmlformats.org/officeDocument/2006/relationships/hyperlink" Target="https://www.informationnow.org.uk/article/day-centres-and-services/" TargetMode="External" Id="rId12" /><Relationship Type="http://schemas.openxmlformats.org/officeDocument/2006/relationships/hyperlink" Target="https://bills.parliament.uk/bills/3022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nurturedevelopment.org/who-we-are/cormac-russell/" TargetMode="External" Id="rId16" /><Relationship Type="http://schemas.openxmlformats.org/officeDocument/2006/relationships/customXml" Target="../customXml/item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hyperlink" Target="https://www.legislation.gov.uk/ukpga/2000/14/contents" TargetMode="External" Id="rId15" /><Relationship Type="http://schemas.openxmlformats.org/officeDocument/2006/relationships/hyperlink" Target="https://www.informationnow.org.uk/organisation/st-anthony-of-padua-community-association/" TargetMode="Externa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yperlink" Target="https://www.informationnow.org.uk/organisation/the-grange-centre/" TargetMode="External" Id="rId9" /><Relationship Type="http://schemas.openxmlformats.org/officeDocument/2006/relationships/hyperlink" Target="https://www.legislation.gov.uk/ukpga/2014/23/contents/enacted" TargetMode="External" Id="rId14" /><Relationship Type="http://schemas.openxmlformats.org/officeDocument/2006/relationships/customXml" Target="../customXml/item3.xml" Id="rId22" /><Relationship Type="http://schemas.openxmlformats.org/officeDocument/2006/relationships/hyperlink" Target="https://www.informationnow.org.uk/organisation/bradbury-centre/" TargetMode="External" Id="R2ad8e581e41d48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0488AB80D2B42AE5FA31CA3B48EF8" ma:contentTypeVersion="16" ma:contentTypeDescription="Create a new document." ma:contentTypeScope="" ma:versionID="f3b48f656031445652956578b30c154a">
  <xsd:schema xmlns:xsd="http://www.w3.org/2001/XMLSchema" xmlns:xs="http://www.w3.org/2001/XMLSchema" xmlns:p="http://schemas.microsoft.com/office/2006/metadata/properties" xmlns:ns2="2bebd1e4-4e04-49c2-a6fb-a54b15c00235" xmlns:ns3="c30e919f-ad78-4236-a3df-e961435da678" targetNamespace="http://schemas.microsoft.com/office/2006/metadata/properties" ma:root="true" ma:fieldsID="683a78ee432ec182381924b736f9c1cd" ns2:_="" ns3:_="">
    <xsd:import namespace="2bebd1e4-4e04-49c2-a6fb-a54b15c00235"/>
    <xsd:import namespace="c30e919f-ad78-4236-a3df-e961435da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bd1e4-4e04-49c2-a6fb-a54b15c00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919f-ad78-4236-a3df-e961435da6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1dd208-5c4a-4dd2-bdba-27112d550abf}" ma:internalName="TaxCatchAll" ma:showField="CatchAllData" ma:web="c30e919f-ad78-4236-a3df-e961435da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ebd1e4-4e04-49c2-a6fb-a54b15c00235">
      <Terms xmlns="http://schemas.microsoft.com/office/infopath/2007/PartnerControls"/>
    </lcf76f155ced4ddcb4097134ff3c332f>
    <TaxCatchAll xmlns="c30e919f-ad78-4236-a3df-e961435da678" xsi:nil="true"/>
  </documentManagement>
</p:properties>
</file>

<file path=customXml/itemProps1.xml><?xml version="1.0" encoding="utf-8"?>
<ds:datastoreItem xmlns:ds="http://schemas.openxmlformats.org/officeDocument/2006/customXml" ds:itemID="{0A49BAE9-C449-4A2E-8216-5827B175C32D}"/>
</file>

<file path=customXml/itemProps2.xml><?xml version="1.0" encoding="utf-8"?>
<ds:datastoreItem xmlns:ds="http://schemas.openxmlformats.org/officeDocument/2006/customXml" ds:itemID="{9072C94B-B037-4AE6-BEF4-4CE7017E95D6}"/>
</file>

<file path=customXml/itemProps3.xml><?xml version="1.0" encoding="utf-8"?>
<ds:datastoreItem xmlns:ds="http://schemas.openxmlformats.org/officeDocument/2006/customXml" ds:itemID="{2FC81319-F4D9-440B-8072-F1F50C6603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Seamus</dc:creator>
  <cp:keywords/>
  <dc:description/>
  <cp:lastModifiedBy>Turnbull, Nicola</cp:lastModifiedBy>
  <cp:revision>116</cp:revision>
  <dcterms:created xsi:type="dcterms:W3CDTF">2024-02-16T09:36:00Z</dcterms:created>
  <dcterms:modified xsi:type="dcterms:W3CDTF">2024-07-24T11:45:21Z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0x0101006570488AB80D2B42AE5FA31CA3B48EF8</vt:lpwstr>
  </property>
  <property fmtid="{D5CDD505-2E9C-101B-9397-08002B2CF9AE}" pid="3" name="MediaServiceImageTags">
    <vt:lpwstr/>
  </property>
</Properties>
</file>